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2D561A" w14:textId="77777777" w:rsidR="00491FCD" w:rsidRDefault="00491FCD" w:rsidP="00491FCD">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AGRICULTURAL TENANCIES IN THE NORTH-EAST OF SCOTLAND: TIME FOR REFORM?</w:t>
      </w:r>
    </w:p>
    <w:p w14:paraId="114CE203" w14:textId="77777777" w:rsidR="00491FCD" w:rsidRDefault="00491FCD" w:rsidP="00491FCD">
      <w:pPr>
        <w:jc w:val="center"/>
        <w:rPr>
          <w:rFonts w:ascii="Times New Roman" w:eastAsia="Times New Roman" w:hAnsi="Times New Roman" w:cs="Times New Roman"/>
          <w:b/>
          <w:color w:val="000000"/>
          <w:sz w:val="28"/>
          <w:szCs w:val="28"/>
        </w:rPr>
      </w:pPr>
    </w:p>
    <w:p w14:paraId="4D875A44" w14:textId="77777777" w:rsidR="00491FCD" w:rsidRDefault="00491FCD" w:rsidP="00491FCD">
      <w:pPr>
        <w:jc w:val="center"/>
        <w:rPr>
          <w:rFonts w:ascii="Times New Roman" w:eastAsia="Times New Roman" w:hAnsi="Times New Roman" w:cs="Times New Roman"/>
          <w:b/>
          <w:color w:val="000000"/>
          <w:sz w:val="28"/>
          <w:szCs w:val="28"/>
        </w:rPr>
      </w:pPr>
    </w:p>
    <w:p w14:paraId="5C9EBFFD" w14:textId="77777777" w:rsidR="00491FCD" w:rsidRDefault="00491FCD" w:rsidP="00491FCD">
      <w:pPr>
        <w:jc w:val="center"/>
        <w:rPr>
          <w:rFonts w:ascii="Times New Roman" w:eastAsia="Times New Roman" w:hAnsi="Times New Roman" w:cs="Times New Roman"/>
          <w:color w:val="000000"/>
        </w:rPr>
      </w:pPr>
      <w:r>
        <w:rPr>
          <w:rFonts w:ascii="Times New Roman" w:eastAsia="Times New Roman" w:hAnsi="Times New Roman" w:cs="Times New Roman"/>
          <w:color w:val="000000"/>
        </w:rPr>
        <w:t>ROSEMARY GLASS</w:t>
      </w:r>
    </w:p>
    <w:p w14:paraId="4E1149F3" w14:textId="77777777" w:rsidR="00BA2818" w:rsidRDefault="00BA2818"/>
    <w:p w14:paraId="73053BFA" w14:textId="77777777" w:rsidR="00491FCD" w:rsidRDefault="00491FCD"/>
    <w:p w14:paraId="2B8EDC4E" w14:textId="57A4EF62" w:rsidR="00491FCD" w:rsidRDefault="00491FCD" w:rsidP="00491FCD">
      <w:pPr>
        <w:jc w:val="center"/>
        <w:rPr>
          <w:rFonts w:ascii="Times New Roman" w:eastAsia="Times New Roman" w:hAnsi="Times New Roman" w:cs="Times New Roman"/>
          <w:color w:val="000000"/>
        </w:rPr>
      </w:pPr>
      <w:r>
        <w:rPr>
          <w:rFonts w:ascii="Times New Roman" w:eastAsia="Times New Roman" w:hAnsi="Times New Roman" w:cs="Times New Roman"/>
          <w:color w:val="000000"/>
        </w:rPr>
        <w:t>December</w:t>
      </w:r>
      <w:r>
        <w:rPr>
          <w:rFonts w:ascii="Times New Roman" w:eastAsia="Times New Roman" w:hAnsi="Times New Roman" w:cs="Times New Roman"/>
        </w:rPr>
        <w:t xml:space="preserve"> </w:t>
      </w:r>
      <w:r>
        <w:rPr>
          <w:rFonts w:ascii="Times New Roman" w:eastAsia="Times New Roman" w:hAnsi="Times New Roman" w:cs="Times New Roman"/>
          <w:color w:val="000000"/>
        </w:rPr>
        <w:t>2023</w:t>
      </w:r>
    </w:p>
    <w:p w14:paraId="7407A2F3" w14:textId="77777777" w:rsidR="00491FCD" w:rsidRDefault="00491FCD">
      <w:pPr>
        <w:rPr>
          <w:rFonts w:ascii="Times New Roman" w:eastAsia="Times New Roman" w:hAnsi="Times New Roman" w:cs="Times New Roman"/>
          <w:color w:val="000000"/>
        </w:rPr>
      </w:pPr>
    </w:p>
    <w:p w14:paraId="2CF11DFC" w14:textId="77777777" w:rsidR="00491FCD" w:rsidRDefault="00491FCD" w:rsidP="00491FCD">
      <w:pPr>
        <w:spacing w:line="360" w:lineRule="auto"/>
        <w:jc w:val="both"/>
        <w:rPr>
          <w:rFonts w:ascii="Times New Roman" w:eastAsia="Times" w:hAnsi="Times New Roman" w:cs="Times New Roman"/>
        </w:rPr>
      </w:pPr>
    </w:p>
    <w:p w14:paraId="5B3DBAAC" w14:textId="61E518B1" w:rsidR="00491FCD" w:rsidRDefault="00491FCD" w:rsidP="00491FCD">
      <w:pPr>
        <w:spacing w:line="360" w:lineRule="auto"/>
        <w:jc w:val="both"/>
        <w:rPr>
          <w:rFonts w:ascii="Times New Roman" w:eastAsia="Times" w:hAnsi="Times New Roman" w:cs="Times New Roman"/>
        </w:rPr>
      </w:pPr>
      <w:r>
        <w:rPr>
          <w:rFonts w:ascii="Times New Roman" w:eastAsia="Times" w:hAnsi="Times New Roman" w:cs="Times New Roman"/>
        </w:rPr>
        <w:t>T</w:t>
      </w:r>
      <w:r>
        <w:rPr>
          <w:rFonts w:ascii="Times New Roman" w:eastAsia="Times" w:hAnsi="Times New Roman" w:cs="Times New Roman"/>
        </w:rPr>
        <w:t xml:space="preserve">he aim of this dissertation </w:t>
      </w:r>
      <w:r>
        <w:rPr>
          <w:rFonts w:ascii="Times New Roman" w:eastAsia="Times" w:hAnsi="Times New Roman" w:cs="Times New Roman"/>
        </w:rPr>
        <w:t>is</w:t>
      </w:r>
      <w:r>
        <w:rPr>
          <w:rFonts w:ascii="Times New Roman" w:eastAsia="Times" w:hAnsi="Times New Roman" w:cs="Times New Roman"/>
        </w:rPr>
        <w:t xml:space="preserve"> to investigate how the Agricultural Holdings (Scotland) Act 2003 and Land Reform (Scotland) Act 2016 have affected land tenure in the North-east of Scotland. </w:t>
      </w:r>
    </w:p>
    <w:p w14:paraId="30E0DDDC" w14:textId="27EC4BEF" w:rsidR="00491FCD" w:rsidRDefault="00491FCD" w:rsidP="00491FCD">
      <w:pPr>
        <w:spacing w:line="360" w:lineRule="auto"/>
        <w:jc w:val="both"/>
        <w:rPr>
          <w:rFonts w:ascii="Times New Roman" w:eastAsia="Times" w:hAnsi="Times New Roman" w:cs="Times New Roman"/>
        </w:rPr>
      </w:pPr>
      <w:r>
        <w:rPr>
          <w:rFonts w:ascii="Times New Roman" w:eastAsia="Times" w:hAnsi="Times New Roman" w:cs="Times New Roman"/>
        </w:rPr>
        <w:t>Both pieces of legislation were designed to support</w:t>
      </w:r>
      <w:r>
        <w:rPr>
          <w:rFonts w:ascii="Times New Roman" w:eastAsia="Times" w:hAnsi="Times New Roman" w:cs="Times New Roman"/>
        </w:rPr>
        <w:t xml:space="preserve"> the Scottish Government's primary aim of encouraging landowners to bring forward more land onto the letting market</w:t>
      </w:r>
      <w:r>
        <w:rPr>
          <w:rFonts w:ascii="Times New Roman" w:eastAsia="Times" w:hAnsi="Times New Roman" w:cs="Times New Roman"/>
        </w:rPr>
        <w:t>.</w:t>
      </w:r>
      <w:r>
        <w:rPr>
          <w:rFonts w:ascii="Times New Roman" w:eastAsia="Times" w:hAnsi="Times New Roman" w:cs="Times New Roman"/>
        </w:rPr>
        <w:t xml:space="preserve"> </w:t>
      </w:r>
      <w:r>
        <w:rPr>
          <w:rFonts w:ascii="Times New Roman" w:eastAsia="Times" w:hAnsi="Times New Roman" w:cs="Times New Roman"/>
        </w:rPr>
        <w:t>I</w:t>
      </w:r>
      <w:r>
        <w:rPr>
          <w:rFonts w:ascii="Times New Roman" w:eastAsia="Times" w:hAnsi="Times New Roman" w:cs="Times New Roman"/>
        </w:rPr>
        <w:t xml:space="preserve">t was found that the introduction of various forms of fixed term tenancies have been successful in achieving this. These fixed term agreements provided landowners with the option of leasing land for a defined </w:t>
      </w:r>
      <w:proofErr w:type="gramStart"/>
      <w:r>
        <w:rPr>
          <w:rFonts w:ascii="Times New Roman" w:eastAsia="Times" w:hAnsi="Times New Roman" w:cs="Times New Roman"/>
        </w:rPr>
        <w:t>period of time</w:t>
      </w:r>
      <w:proofErr w:type="gramEnd"/>
      <w:r>
        <w:rPr>
          <w:rFonts w:ascii="Times New Roman" w:eastAsia="Times" w:hAnsi="Times New Roman" w:cs="Times New Roman"/>
        </w:rPr>
        <w:t xml:space="preserve">, which was something that was not a possibility prior to the introduction of the 2003 act. However, the introduction of the pre-emptive right to buy that was included in this bill was found to have completely undermined the </w:t>
      </w:r>
      <w:proofErr w:type="gramStart"/>
      <w:r>
        <w:rPr>
          <w:rFonts w:ascii="Times New Roman" w:eastAsia="Times" w:hAnsi="Times New Roman" w:cs="Times New Roman"/>
        </w:rPr>
        <w:t>aforementioned policy</w:t>
      </w:r>
      <w:proofErr w:type="gramEnd"/>
      <w:r>
        <w:rPr>
          <w:rFonts w:ascii="Times New Roman" w:eastAsia="Times" w:hAnsi="Times New Roman" w:cs="Times New Roman"/>
        </w:rPr>
        <w:t xml:space="preserve"> aim. Thus, it seems the Scottish Government failed to understand that </w:t>
      </w:r>
      <w:proofErr w:type="gramStart"/>
      <w:r>
        <w:rPr>
          <w:rFonts w:ascii="Times New Roman" w:eastAsia="Times" w:hAnsi="Times New Roman" w:cs="Times New Roman"/>
        </w:rPr>
        <w:t>in order to</w:t>
      </w:r>
      <w:proofErr w:type="gramEnd"/>
      <w:r>
        <w:rPr>
          <w:rFonts w:ascii="Times New Roman" w:eastAsia="Times" w:hAnsi="Times New Roman" w:cs="Times New Roman"/>
        </w:rPr>
        <w:t xml:space="preserve"> encourage landowners to bring forward more land onto the letting market they needed to regain their trust. Furthermore, on the ground, the inclusion of this measure for 1991 Act tenants appeared to be unnecessary, as if the landowner was to sell, it would be unlikely that it would be sold over the head of the sitting tenant, as they would be in the best position to pay the highest price due to their security over tenure. </w:t>
      </w:r>
    </w:p>
    <w:p w14:paraId="0B04E520" w14:textId="16735734" w:rsidR="00491FCD" w:rsidRDefault="00491FCD" w:rsidP="00491FCD">
      <w:pPr>
        <w:spacing w:line="360" w:lineRule="auto"/>
        <w:jc w:val="both"/>
        <w:rPr>
          <w:rFonts w:ascii="Times New Roman" w:eastAsia="Times New Roman" w:hAnsi="Times New Roman" w:cs="Times New Roman"/>
        </w:rPr>
      </w:pPr>
      <w:r>
        <w:rPr>
          <w:rFonts w:ascii="Times New Roman" w:eastAsia="Times" w:hAnsi="Times New Roman" w:cs="Times New Roman"/>
        </w:rPr>
        <w:t xml:space="preserve">A further </w:t>
      </w:r>
      <w:r>
        <w:rPr>
          <w:rFonts w:ascii="Times New Roman" w:eastAsia="Times" w:hAnsi="Times New Roman" w:cs="Times New Roman"/>
        </w:rPr>
        <w:t>Scottish Government goal</w:t>
      </w:r>
      <w:r>
        <w:rPr>
          <w:rFonts w:ascii="Times New Roman" w:eastAsia="Times" w:hAnsi="Times New Roman" w:cs="Times New Roman"/>
        </w:rPr>
        <w:t xml:space="preserve"> wa</w:t>
      </w:r>
      <w:r>
        <w:rPr>
          <w:rFonts w:ascii="Times New Roman" w:eastAsia="Times" w:hAnsi="Times New Roman" w:cs="Times New Roman"/>
        </w:rPr>
        <w:t>s</w:t>
      </w:r>
      <w:r>
        <w:rPr>
          <w:rFonts w:ascii="Times New Roman" w:eastAsia="Times" w:hAnsi="Times New Roman" w:cs="Times New Roman"/>
        </w:rPr>
        <w:t xml:space="preserve"> </w:t>
      </w:r>
      <w:r>
        <w:rPr>
          <w:rFonts w:ascii="Times New Roman" w:eastAsia="Times" w:hAnsi="Times New Roman" w:cs="Times New Roman"/>
        </w:rPr>
        <w:t>to balance the rights of both landowner and tenant</w:t>
      </w:r>
      <w:r>
        <w:rPr>
          <w:rFonts w:ascii="Times New Roman" w:eastAsia="Times" w:hAnsi="Times New Roman" w:cs="Times New Roman"/>
        </w:rPr>
        <w:t>. I</w:t>
      </w:r>
      <w:r>
        <w:rPr>
          <w:rFonts w:ascii="Times New Roman" w:eastAsia="Times" w:hAnsi="Times New Roman" w:cs="Times New Roman"/>
        </w:rPr>
        <w:t xml:space="preserve">t was found that legislation has swung too far in favour of tenants. Not only was this exemplified by the implementation of the pre-emptive right to buy but </w:t>
      </w:r>
      <w:r>
        <w:rPr>
          <w:rFonts w:ascii="Times New Roman" w:eastAsia="Times" w:hAnsi="Times New Roman" w:cs="Times New Roman"/>
        </w:rPr>
        <w:t xml:space="preserve">also in </w:t>
      </w:r>
      <w:r>
        <w:rPr>
          <w:rFonts w:ascii="Times New Roman" w:eastAsia="Times" w:hAnsi="Times New Roman" w:cs="Times New Roman"/>
        </w:rPr>
        <w:t xml:space="preserve">later reforms included in the 2016 act, such as the relinquishment and assignation act and the extension of succession </w:t>
      </w:r>
      <w:sdt>
        <w:sdtPr>
          <w:rPr>
            <w:rFonts w:ascii="Times New Roman" w:hAnsi="Times New Roman" w:cs="Times New Roman"/>
          </w:rPr>
          <w:tag w:val="goog_rdk_0"/>
          <w:id w:val="1455677504"/>
        </w:sdtPr>
        <w:sdtContent/>
      </w:sdt>
      <w:r>
        <w:rPr>
          <w:rFonts w:ascii="Times New Roman" w:eastAsia="Times" w:hAnsi="Times New Roman" w:cs="Times New Roman"/>
        </w:rPr>
        <w:t xml:space="preserve">right for tenants. </w:t>
      </w:r>
      <w:proofErr w:type="gramStart"/>
      <w:r>
        <w:rPr>
          <w:rFonts w:ascii="Times New Roman" w:eastAsia="Times" w:hAnsi="Times New Roman" w:cs="Times New Roman"/>
        </w:rPr>
        <w:t>Both of these</w:t>
      </w:r>
      <w:proofErr w:type="gramEnd"/>
      <w:r>
        <w:rPr>
          <w:rFonts w:ascii="Times New Roman" w:eastAsia="Times" w:hAnsi="Times New Roman" w:cs="Times New Roman"/>
        </w:rPr>
        <w:t xml:space="preserve"> measures were intended to encourage a new lease of life into the tenanted </w:t>
      </w:r>
      <w:r>
        <w:rPr>
          <w:rFonts w:ascii="Times New Roman" w:eastAsia="Times New Roman" w:hAnsi="Times New Roman" w:cs="Times New Roman"/>
        </w:rPr>
        <w:t xml:space="preserve">sector by providing more opportunities for new entrants to lease land. Despite these measures being successful in providing support for tenant farmers who wish to retire whilst enabling landowners to retrieve vacant possession of their land, not much success has been seen </w:t>
      </w:r>
      <w:proofErr w:type="gramStart"/>
      <w:r>
        <w:rPr>
          <w:rFonts w:ascii="Times New Roman" w:eastAsia="Times New Roman" w:hAnsi="Times New Roman" w:cs="Times New Roman"/>
        </w:rPr>
        <w:t>in regards to</w:t>
      </w:r>
      <w:proofErr w:type="gramEnd"/>
      <w:r>
        <w:rPr>
          <w:rFonts w:ascii="Times New Roman" w:eastAsia="Times New Roman" w:hAnsi="Times New Roman" w:cs="Times New Roman"/>
        </w:rPr>
        <w:t xml:space="preserve"> increasing opportunities for new entrants. </w:t>
      </w:r>
    </w:p>
    <w:p w14:paraId="6856633F" w14:textId="77777777" w:rsidR="00491FCD" w:rsidRDefault="00491FCD"/>
    <w:sectPr w:rsidR="00491FC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altName w:val="Times New Roman"/>
    <w:panose1 w:val="02020603050405020304"/>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1FCD"/>
    <w:rsid w:val="00185878"/>
    <w:rsid w:val="00491FCD"/>
    <w:rsid w:val="00A843DF"/>
    <w:rsid w:val="00BA28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518FB9"/>
  <w15:chartTrackingRefBased/>
  <w15:docId w15:val="{A92A3F1C-2F6B-4654-BDEF-4283AC4C26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1FCD"/>
    <w:pPr>
      <w:spacing w:after="0" w:line="240" w:lineRule="auto"/>
    </w:pPr>
    <w:rPr>
      <w:rFonts w:ascii="Calibri" w:eastAsia="Calibri" w:hAnsi="Calibri" w:cs="Calibri"/>
      <w:kern w:val="0"/>
      <w:sz w:val="24"/>
      <w:szCs w:val="24"/>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3172301">
      <w:bodyDiv w:val="1"/>
      <w:marLeft w:val="0"/>
      <w:marRight w:val="0"/>
      <w:marTop w:val="0"/>
      <w:marBottom w:val="0"/>
      <w:divBdr>
        <w:top w:val="none" w:sz="0" w:space="0" w:color="auto"/>
        <w:left w:val="none" w:sz="0" w:space="0" w:color="auto"/>
        <w:bottom w:val="none" w:sz="0" w:space="0" w:color="auto"/>
        <w:right w:val="none" w:sz="0" w:space="0" w:color="auto"/>
      </w:divBdr>
    </w:div>
    <w:div w:id="1043943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337</Words>
  <Characters>1924</Characters>
  <Application>Microsoft Office Word</Application>
  <DocSecurity>0</DocSecurity>
  <Lines>16</Lines>
  <Paragraphs>4</Paragraphs>
  <ScaleCrop>false</ScaleCrop>
  <Company/>
  <LinksUpToDate>false</LinksUpToDate>
  <CharactersWithSpaces>2257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Prager, Katrin</dc:creator>
  <cp:keywords/>
  <dc:description/>
  <cp:lastModifiedBy>Prager, Katrin</cp:lastModifiedBy>
  <cp:revision>1</cp:revision>
  <dcterms:created xsi:type="dcterms:W3CDTF">2024-01-22T11:37:00Z</dcterms:created>
  <dcterms:modified xsi:type="dcterms:W3CDTF">2024-01-22T11:44:00Z</dcterms:modified>
</cp:coreProperties>
</file>