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BADB9" w14:textId="2C78C269" w:rsidR="009217FC" w:rsidRPr="00266E6B" w:rsidRDefault="009217FC" w:rsidP="00B76ACB">
      <w:pPr>
        <w:autoSpaceDE w:val="0"/>
        <w:autoSpaceDN w:val="0"/>
        <w:adjustRightInd w:val="0"/>
        <w:jc w:val="center"/>
        <w:rPr>
          <w:rFonts w:ascii="Calibri" w:hAnsi="Calibri" w:cs="Calibri"/>
          <w:b/>
          <w:bCs/>
          <w:kern w:val="0"/>
          <w:sz w:val="22"/>
          <w:szCs w:val="22"/>
        </w:rPr>
      </w:pPr>
      <w:r w:rsidRPr="00266E6B">
        <w:rPr>
          <w:rFonts w:ascii="Calibri" w:hAnsi="Calibri" w:cs="Calibri"/>
          <w:b/>
          <w:bCs/>
          <w:kern w:val="0"/>
          <w:sz w:val="22"/>
          <w:szCs w:val="22"/>
        </w:rPr>
        <w:t>Scottish Law Commissio</w:t>
      </w:r>
      <w:r w:rsidR="0085608C" w:rsidRPr="00266E6B">
        <w:rPr>
          <w:rFonts w:ascii="Calibri" w:hAnsi="Calibri" w:cs="Calibri"/>
          <w:b/>
          <w:bCs/>
          <w:kern w:val="0"/>
          <w:sz w:val="22"/>
          <w:szCs w:val="22"/>
        </w:rPr>
        <w:t>n</w:t>
      </w:r>
      <w:r w:rsidRPr="00266E6B">
        <w:rPr>
          <w:rFonts w:ascii="Calibri" w:hAnsi="Calibri" w:cs="Calibri"/>
          <w:b/>
          <w:bCs/>
          <w:kern w:val="0"/>
          <w:sz w:val="22"/>
          <w:szCs w:val="22"/>
        </w:rPr>
        <w:t xml:space="preserve"> </w:t>
      </w:r>
      <w:r w:rsidR="0085608C" w:rsidRPr="00266E6B">
        <w:rPr>
          <w:rFonts w:ascii="Calibri" w:hAnsi="Calibri" w:cs="Calibri"/>
          <w:b/>
          <w:bCs/>
          <w:kern w:val="0"/>
          <w:sz w:val="22"/>
          <w:szCs w:val="22"/>
        </w:rPr>
        <w:t>Discussion Paper on Civil Remedies for Domestic Abuse</w:t>
      </w:r>
      <w:r w:rsidR="00B76ACB" w:rsidRPr="00266E6B">
        <w:rPr>
          <w:rFonts w:ascii="Calibri" w:hAnsi="Calibri" w:cs="Calibri"/>
          <w:b/>
          <w:bCs/>
          <w:kern w:val="0"/>
          <w:sz w:val="22"/>
          <w:szCs w:val="22"/>
        </w:rPr>
        <w:t xml:space="preserve"> (DP No. 178)</w:t>
      </w:r>
    </w:p>
    <w:p w14:paraId="5733745A" w14:textId="77777777" w:rsidR="0085608C" w:rsidRPr="00266E6B" w:rsidRDefault="0085608C" w:rsidP="00B76ACB">
      <w:pPr>
        <w:autoSpaceDE w:val="0"/>
        <w:autoSpaceDN w:val="0"/>
        <w:adjustRightInd w:val="0"/>
        <w:jc w:val="center"/>
        <w:rPr>
          <w:rFonts w:ascii="Calibri" w:hAnsi="Calibri" w:cs="Calibri"/>
          <w:b/>
          <w:bCs/>
          <w:kern w:val="0"/>
          <w:sz w:val="22"/>
          <w:szCs w:val="22"/>
        </w:rPr>
      </w:pPr>
    </w:p>
    <w:p w14:paraId="339E4956" w14:textId="77777777" w:rsidR="007A00F7" w:rsidRDefault="0085608C" w:rsidP="00B76ACB">
      <w:pPr>
        <w:autoSpaceDE w:val="0"/>
        <w:autoSpaceDN w:val="0"/>
        <w:adjustRightInd w:val="0"/>
        <w:jc w:val="center"/>
        <w:rPr>
          <w:rFonts w:ascii="Calibri" w:hAnsi="Calibri" w:cs="Calibri"/>
          <w:b/>
          <w:bCs/>
          <w:kern w:val="0"/>
          <w:sz w:val="22"/>
          <w:szCs w:val="22"/>
        </w:rPr>
      </w:pPr>
      <w:r w:rsidRPr="00266E6B">
        <w:rPr>
          <w:rFonts w:ascii="Calibri" w:hAnsi="Calibri" w:cs="Calibri"/>
          <w:b/>
          <w:bCs/>
          <w:kern w:val="0"/>
          <w:sz w:val="22"/>
          <w:szCs w:val="22"/>
        </w:rPr>
        <w:t xml:space="preserve">Consultation Response </w:t>
      </w:r>
      <w:r w:rsidR="00B76ACB" w:rsidRPr="00266E6B">
        <w:rPr>
          <w:rFonts w:ascii="Calibri" w:hAnsi="Calibri" w:cs="Calibri"/>
          <w:b/>
          <w:bCs/>
          <w:kern w:val="0"/>
          <w:sz w:val="22"/>
          <w:szCs w:val="22"/>
        </w:rPr>
        <w:t>by Dr Ilona Cairns and Dr Isla Callander</w:t>
      </w:r>
    </w:p>
    <w:p w14:paraId="4C108832" w14:textId="08A50E5A" w:rsidR="009217FC" w:rsidRDefault="00F71F0C" w:rsidP="00B76ACB">
      <w:pPr>
        <w:autoSpaceDE w:val="0"/>
        <w:autoSpaceDN w:val="0"/>
        <w:adjustRightInd w:val="0"/>
        <w:jc w:val="center"/>
        <w:rPr>
          <w:rFonts w:ascii="Calibri" w:hAnsi="Calibri" w:cs="Calibri"/>
          <w:b/>
          <w:bCs/>
          <w:kern w:val="0"/>
          <w:sz w:val="22"/>
          <w:szCs w:val="22"/>
        </w:rPr>
      </w:pPr>
      <w:r w:rsidRPr="00266E6B">
        <w:rPr>
          <w:rFonts w:ascii="Calibri" w:hAnsi="Calibri" w:cs="Calibri"/>
          <w:b/>
          <w:bCs/>
          <w:kern w:val="0"/>
          <w:sz w:val="22"/>
          <w:szCs w:val="22"/>
        </w:rPr>
        <w:t>Senior Lecturers in Law</w:t>
      </w:r>
      <w:r w:rsidR="00FC70E2">
        <w:rPr>
          <w:rFonts w:ascii="Calibri" w:hAnsi="Calibri" w:cs="Calibri"/>
          <w:b/>
          <w:bCs/>
          <w:kern w:val="0"/>
          <w:sz w:val="22"/>
          <w:szCs w:val="22"/>
        </w:rPr>
        <w:t xml:space="preserve">, </w:t>
      </w:r>
      <w:r w:rsidRPr="00266E6B">
        <w:rPr>
          <w:rFonts w:ascii="Calibri" w:hAnsi="Calibri" w:cs="Calibri"/>
          <w:b/>
          <w:bCs/>
          <w:kern w:val="0"/>
          <w:sz w:val="22"/>
          <w:szCs w:val="22"/>
        </w:rPr>
        <w:t>University of Aberdeen</w:t>
      </w:r>
    </w:p>
    <w:p w14:paraId="306F2BF7" w14:textId="77777777" w:rsidR="007A00F7" w:rsidRDefault="007A00F7" w:rsidP="00B76ACB">
      <w:pPr>
        <w:autoSpaceDE w:val="0"/>
        <w:autoSpaceDN w:val="0"/>
        <w:adjustRightInd w:val="0"/>
        <w:jc w:val="center"/>
        <w:rPr>
          <w:rFonts w:ascii="Calibri" w:hAnsi="Calibri" w:cs="Calibri"/>
          <w:b/>
          <w:bCs/>
          <w:kern w:val="0"/>
          <w:sz w:val="22"/>
          <w:szCs w:val="22"/>
        </w:rPr>
      </w:pPr>
    </w:p>
    <w:p w14:paraId="1D39ED1C" w14:textId="366F2B90" w:rsidR="007A00F7" w:rsidRPr="00266E6B" w:rsidRDefault="007A00F7" w:rsidP="007A00F7">
      <w:pPr>
        <w:autoSpaceDE w:val="0"/>
        <w:autoSpaceDN w:val="0"/>
        <w:adjustRightInd w:val="0"/>
        <w:jc w:val="center"/>
        <w:rPr>
          <w:rFonts w:ascii="Calibri" w:hAnsi="Calibri" w:cs="Calibri"/>
          <w:b/>
          <w:bCs/>
          <w:kern w:val="0"/>
          <w:sz w:val="22"/>
          <w:szCs w:val="22"/>
        </w:rPr>
      </w:pPr>
      <w:r>
        <w:rPr>
          <w:rFonts w:ascii="Calibri" w:hAnsi="Calibri" w:cs="Calibri"/>
          <w:b/>
          <w:bCs/>
          <w:kern w:val="0"/>
          <w:sz w:val="22"/>
          <w:szCs w:val="22"/>
        </w:rPr>
        <w:t xml:space="preserve">Correspondence: </w:t>
      </w:r>
      <w:hyperlink r:id="rId7" w:history="1">
        <w:r w:rsidRPr="00CF7286">
          <w:rPr>
            <w:rStyle w:val="Hyperlink"/>
            <w:rFonts w:ascii="Calibri" w:hAnsi="Calibri" w:cs="Calibri"/>
            <w:b/>
            <w:bCs/>
            <w:kern w:val="0"/>
            <w:sz w:val="22"/>
            <w:szCs w:val="22"/>
          </w:rPr>
          <w:t>ilona.cairns@abdn.ac.uk</w:t>
        </w:r>
      </w:hyperlink>
      <w:r>
        <w:rPr>
          <w:rFonts w:ascii="Calibri" w:hAnsi="Calibri" w:cs="Calibri"/>
          <w:b/>
          <w:bCs/>
          <w:kern w:val="0"/>
          <w:sz w:val="22"/>
          <w:szCs w:val="22"/>
        </w:rPr>
        <w:t xml:space="preserve"> and </w:t>
      </w:r>
      <w:hyperlink r:id="rId8" w:history="1">
        <w:r w:rsidRPr="00CF7286">
          <w:rPr>
            <w:rStyle w:val="Hyperlink"/>
            <w:rFonts w:ascii="Calibri" w:hAnsi="Calibri" w:cs="Calibri"/>
            <w:b/>
            <w:bCs/>
            <w:kern w:val="0"/>
            <w:sz w:val="22"/>
            <w:szCs w:val="22"/>
          </w:rPr>
          <w:t>isla.callander@abdn.ac.uk</w:t>
        </w:r>
      </w:hyperlink>
      <w:r>
        <w:rPr>
          <w:rFonts w:ascii="Calibri" w:hAnsi="Calibri" w:cs="Calibri"/>
          <w:b/>
          <w:bCs/>
          <w:kern w:val="0"/>
          <w:sz w:val="22"/>
          <w:szCs w:val="22"/>
        </w:rPr>
        <w:t xml:space="preserve"> </w:t>
      </w:r>
    </w:p>
    <w:p w14:paraId="287B8C8B" w14:textId="77777777" w:rsidR="009217FC" w:rsidRPr="00266E6B" w:rsidRDefault="009217FC" w:rsidP="00F616C4">
      <w:pPr>
        <w:autoSpaceDE w:val="0"/>
        <w:autoSpaceDN w:val="0"/>
        <w:adjustRightInd w:val="0"/>
        <w:rPr>
          <w:rFonts w:ascii="Calibri" w:hAnsi="Calibri" w:cs="Calibri"/>
          <w:b/>
          <w:bCs/>
          <w:i/>
          <w:iCs/>
          <w:kern w:val="0"/>
          <w:sz w:val="22"/>
          <w:szCs w:val="22"/>
          <w:u w:val="single"/>
        </w:rPr>
      </w:pPr>
    </w:p>
    <w:p w14:paraId="2C5EDE4E" w14:textId="3E323DD9" w:rsidR="00F616C4" w:rsidRPr="00266E6B" w:rsidRDefault="00F616C4" w:rsidP="00F616C4">
      <w:pPr>
        <w:autoSpaceDE w:val="0"/>
        <w:autoSpaceDN w:val="0"/>
        <w:adjustRightInd w:val="0"/>
        <w:rPr>
          <w:rFonts w:ascii="Calibri" w:hAnsi="Calibri" w:cs="Calibri"/>
          <w:b/>
          <w:bCs/>
          <w:i/>
          <w:iCs/>
          <w:kern w:val="0"/>
          <w:sz w:val="22"/>
          <w:szCs w:val="22"/>
        </w:rPr>
      </w:pPr>
      <w:r w:rsidRPr="00266E6B">
        <w:rPr>
          <w:rFonts w:ascii="Calibri" w:hAnsi="Calibri" w:cs="Calibri"/>
          <w:b/>
          <w:bCs/>
          <w:i/>
          <w:iCs/>
          <w:kern w:val="0"/>
          <w:sz w:val="22"/>
          <w:szCs w:val="22"/>
        </w:rPr>
        <w:t>46. Should a child under 18 be recognised as an adjoined victim/survivor of</w:t>
      </w:r>
      <w:r w:rsidR="00697EFC" w:rsidRPr="00266E6B">
        <w:rPr>
          <w:rFonts w:ascii="Calibri" w:hAnsi="Calibri" w:cs="Calibri"/>
          <w:b/>
          <w:bCs/>
          <w:i/>
          <w:iCs/>
          <w:kern w:val="0"/>
          <w:sz w:val="22"/>
          <w:szCs w:val="22"/>
        </w:rPr>
        <w:t xml:space="preserve"> </w:t>
      </w:r>
      <w:r w:rsidRPr="00266E6B">
        <w:rPr>
          <w:rFonts w:ascii="Calibri" w:hAnsi="Calibri" w:cs="Calibri"/>
          <w:b/>
          <w:bCs/>
          <w:i/>
          <w:iCs/>
          <w:kern w:val="0"/>
          <w:sz w:val="22"/>
          <w:szCs w:val="22"/>
        </w:rPr>
        <w:t>abuse perpetrated by or against a parent or connected adult in their life?</w:t>
      </w:r>
    </w:p>
    <w:p w14:paraId="7A841E44" w14:textId="77777777" w:rsidR="00F616C4" w:rsidRPr="00266E6B" w:rsidRDefault="00F616C4" w:rsidP="00882424">
      <w:pPr>
        <w:autoSpaceDE w:val="0"/>
        <w:autoSpaceDN w:val="0"/>
        <w:adjustRightInd w:val="0"/>
        <w:jc w:val="both"/>
        <w:rPr>
          <w:rFonts w:ascii="Calibri" w:hAnsi="Calibri" w:cs="Calibri"/>
          <w:b/>
          <w:bCs/>
          <w:i/>
          <w:iCs/>
          <w:kern w:val="0"/>
          <w:sz w:val="22"/>
          <w:szCs w:val="22"/>
          <w:u w:val="single"/>
        </w:rPr>
      </w:pPr>
    </w:p>
    <w:p w14:paraId="3B1BCEE9" w14:textId="59EE4B30" w:rsidR="00697EFC" w:rsidRPr="00266E6B" w:rsidRDefault="00F616C4" w:rsidP="0022235F">
      <w:pPr>
        <w:autoSpaceDE w:val="0"/>
        <w:autoSpaceDN w:val="0"/>
        <w:adjustRightInd w:val="0"/>
        <w:jc w:val="both"/>
        <w:rPr>
          <w:rFonts w:ascii="Calibri" w:hAnsi="Calibri" w:cs="Calibri"/>
          <w:kern w:val="0"/>
          <w:sz w:val="22"/>
          <w:szCs w:val="22"/>
        </w:rPr>
      </w:pPr>
      <w:r w:rsidRPr="00266E6B">
        <w:rPr>
          <w:rFonts w:ascii="Calibri" w:hAnsi="Calibri" w:cs="Calibri"/>
          <w:kern w:val="0"/>
          <w:sz w:val="22"/>
          <w:szCs w:val="22"/>
        </w:rPr>
        <w:t>Yes</w:t>
      </w:r>
      <w:r w:rsidR="00A4737C" w:rsidRPr="00266E6B">
        <w:rPr>
          <w:rFonts w:ascii="Calibri" w:hAnsi="Calibri" w:cs="Calibri"/>
          <w:kern w:val="0"/>
          <w:sz w:val="22"/>
          <w:szCs w:val="22"/>
        </w:rPr>
        <w:t>, we agree that a child under 18 be recognised as an adjoined victim/survivor of</w:t>
      </w:r>
      <w:r w:rsidR="00287E88" w:rsidRPr="00266E6B">
        <w:rPr>
          <w:rFonts w:ascii="Calibri" w:hAnsi="Calibri" w:cs="Calibri"/>
          <w:kern w:val="0"/>
          <w:sz w:val="22"/>
          <w:szCs w:val="22"/>
        </w:rPr>
        <w:t xml:space="preserve"> </w:t>
      </w:r>
      <w:r w:rsidR="00A4737C" w:rsidRPr="00266E6B">
        <w:rPr>
          <w:rFonts w:ascii="Calibri" w:hAnsi="Calibri" w:cs="Calibri"/>
          <w:kern w:val="0"/>
          <w:sz w:val="22"/>
          <w:szCs w:val="22"/>
        </w:rPr>
        <w:t xml:space="preserve">abuse perpetrated by or against a parent or connected adult in their life. As we </w:t>
      </w:r>
      <w:r w:rsidR="00281024" w:rsidRPr="00266E6B">
        <w:rPr>
          <w:rFonts w:ascii="Calibri" w:hAnsi="Calibri" w:cs="Calibri"/>
          <w:kern w:val="0"/>
          <w:sz w:val="22"/>
          <w:szCs w:val="22"/>
        </w:rPr>
        <w:t>argued in our 2022 article</w:t>
      </w:r>
      <w:r w:rsidR="00F15926" w:rsidRPr="00266E6B">
        <w:rPr>
          <w:rFonts w:ascii="Calibri" w:hAnsi="Calibri" w:cs="Calibri"/>
          <w:kern w:val="0"/>
          <w:sz w:val="22"/>
          <w:szCs w:val="22"/>
        </w:rPr>
        <w:t>,</w:t>
      </w:r>
      <w:r w:rsidR="00A4737C" w:rsidRPr="00266E6B">
        <w:rPr>
          <w:rFonts w:ascii="Calibri" w:hAnsi="Calibri" w:cs="Calibri"/>
          <w:kern w:val="0"/>
          <w:sz w:val="22"/>
          <w:szCs w:val="22"/>
        </w:rPr>
        <w:t xml:space="preserve"> </w:t>
      </w:r>
      <w:r w:rsidR="00D94124" w:rsidRPr="00266E6B">
        <w:rPr>
          <w:rFonts w:ascii="Calibri" w:hAnsi="Calibri" w:cs="Calibri"/>
          <w:kern w:val="0"/>
          <w:sz w:val="22"/>
          <w:szCs w:val="22"/>
        </w:rPr>
        <w:t xml:space="preserve">intimate partner coercive control </w:t>
      </w:r>
      <w:r w:rsidR="00D163AE" w:rsidRPr="00266E6B">
        <w:rPr>
          <w:rFonts w:ascii="Calibri" w:hAnsi="Calibri" w:cs="Calibri"/>
          <w:kern w:val="0"/>
          <w:sz w:val="22"/>
          <w:szCs w:val="22"/>
        </w:rPr>
        <w:t>is</w:t>
      </w:r>
      <w:r w:rsidR="00D94124" w:rsidRPr="00266E6B">
        <w:rPr>
          <w:rFonts w:ascii="Calibri" w:hAnsi="Calibri" w:cs="Calibri"/>
          <w:kern w:val="0"/>
          <w:sz w:val="22"/>
          <w:szCs w:val="22"/>
        </w:rPr>
        <w:t xml:space="preserve"> inherently ‘triadic’ where children </w:t>
      </w:r>
      <w:r w:rsidR="00282C2C" w:rsidRPr="00266E6B">
        <w:rPr>
          <w:rFonts w:ascii="Calibri" w:hAnsi="Calibri" w:cs="Calibri"/>
          <w:kern w:val="0"/>
          <w:sz w:val="22"/>
          <w:szCs w:val="22"/>
        </w:rPr>
        <w:t>live in that environment</w:t>
      </w:r>
      <w:r w:rsidR="00D94124" w:rsidRPr="00266E6B">
        <w:rPr>
          <w:rFonts w:ascii="Calibri" w:hAnsi="Calibri" w:cs="Calibri"/>
          <w:kern w:val="0"/>
          <w:sz w:val="22"/>
          <w:szCs w:val="22"/>
        </w:rPr>
        <w:t>.</w:t>
      </w:r>
      <w:r w:rsidR="00971046" w:rsidRPr="00266E6B">
        <w:rPr>
          <w:rStyle w:val="FootnoteReference"/>
          <w:rFonts w:ascii="Calibri" w:hAnsi="Calibri" w:cs="Calibri"/>
          <w:kern w:val="0"/>
          <w:sz w:val="22"/>
          <w:szCs w:val="22"/>
        </w:rPr>
        <w:footnoteReference w:id="1"/>
      </w:r>
      <w:r w:rsidR="00D94124" w:rsidRPr="00266E6B">
        <w:rPr>
          <w:rFonts w:ascii="Calibri" w:hAnsi="Calibri" w:cs="Calibri"/>
          <w:kern w:val="0"/>
          <w:sz w:val="22"/>
          <w:szCs w:val="22"/>
        </w:rPr>
        <w:t xml:space="preserve"> </w:t>
      </w:r>
    </w:p>
    <w:p w14:paraId="4EFB34FB" w14:textId="77777777" w:rsidR="00A45400" w:rsidRPr="00266E6B" w:rsidRDefault="00A45400" w:rsidP="0022235F">
      <w:pPr>
        <w:autoSpaceDE w:val="0"/>
        <w:autoSpaceDN w:val="0"/>
        <w:adjustRightInd w:val="0"/>
        <w:jc w:val="both"/>
        <w:rPr>
          <w:rFonts w:ascii="Calibri" w:hAnsi="Calibri" w:cs="Calibri"/>
          <w:kern w:val="0"/>
          <w:sz w:val="22"/>
          <w:szCs w:val="22"/>
        </w:rPr>
      </w:pPr>
    </w:p>
    <w:p w14:paraId="6ABF9E20" w14:textId="652FAD80" w:rsidR="00F12AD6" w:rsidRPr="00266E6B" w:rsidRDefault="00312C46" w:rsidP="0022235F">
      <w:pPr>
        <w:autoSpaceDE w:val="0"/>
        <w:autoSpaceDN w:val="0"/>
        <w:adjustRightInd w:val="0"/>
        <w:jc w:val="both"/>
        <w:rPr>
          <w:rFonts w:ascii="Calibri" w:hAnsi="Calibri" w:cs="Calibri"/>
          <w:kern w:val="0"/>
          <w:sz w:val="22"/>
          <w:szCs w:val="22"/>
        </w:rPr>
      </w:pPr>
      <w:r w:rsidRPr="00266E6B">
        <w:rPr>
          <w:rFonts w:ascii="Calibri" w:hAnsi="Calibri" w:cs="Calibri"/>
          <w:kern w:val="0"/>
          <w:sz w:val="22"/>
          <w:szCs w:val="22"/>
        </w:rPr>
        <w:t xml:space="preserve">We acknowledged in our 2022 article </w:t>
      </w:r>
      <w:r w:rsidR="00F15926" w:rsidRPr="00266E6B">
        <w:rPr>
          <w:rFonts w:ascii="Calibri" w:hAnsi="Calibri" w:cs="Calibri"/>
          <w:kern w:val="0"/>
          <w:sz w:val="22"/>
          <w:szCs w:val="22"/>
        </w:rPr>
        <w:t xml:space="preserve">that there are </w:t>
      </w:r>
      <w:r w:rsidRPr="00266E6B">
        <w:rPr>
          <w:rFonts w:ascii="Calibri" w:hAnsi="Calibri" w:cs="Calibri"/>
          <w:kern w:val="0"/>
          <w:sz w:val="22"/>
          <w:szCs w:val="22"/>
        </w:rPr>
        <w:t xml:space="preserve">challenges when it comes to capturing children’s status as victims terminologically and reflecting this in </w:t>
      </w:r>
      <w:r w:rsidR="00776DC2" w:rsidRPr="00266E6B">
        <w:rPr>
          <w:rFonts w:ascii="Calibri" w:hAnsi="Calibri" w:cs="Calibri"/>
          <w:kern w:val="0"/>
          <w:sz w:val="22"/>
          <w:szCs w:val="22"/>
        </w:rPr>
        <w:t>the law</w:t>
      </w:r>
      <w:r w:rsidRPr="00266E6B">
        <w:rPr>
          <w:rFonts w:ascii="Calibri" w:hAnsi="Calibri" w:cs="Calibri"/>
          <w:kern w:val="0"/>
          <w:sz w:val="22"/>
          <w:szCs w:val="22"/>
        </w:rPr>
        <w:t xml:space="preserve">. </w:t>
      </w:r>
      <w:r w:rsidR="00A45400" w:rsidRPr="00266E6B">
        <w:rPr>
          <w:rFonts w:ascii="Calibri" w:hAnsi="Calibri" w:cs="Calibri"/>
          <w:kern w:val="0"/>
          <w:sz w:val="22"/>
          <w:szCs w:val="22"/>
        </w:rPr>
        <w:t>We consider adjoined victim the most appropriate term to use</w:t>
      </w:r>
      <w:r w:rsidR="006F4FE5" w:rsidRPr="00266E6B">
        <w:rPr>
          <w:rFonts w:ascii="Calibri" w:hAnsi="Calibri" w:cs="Calibri"/>
          <w:kern w:val="0"/>
          <w:sz w:val="22"/>
          <w:szCs w:val="22"/>
        </w:rPr>
        <w:t xml:space="preserve"> for the reasons given in our </w:t>
      </w:r>
      <w:r w:rsidR="00900CFA" w:rsidRPr="00266E6B">
        <w:rPr>
          <w:rFonts w:ascii="Calibri" w:hAnsi="Calibri" w:cs="Calibri"/>
          <w:kern w:val="0"/>
          <w:sz w:val="22"/>
          <w:szCs w:val="22"/>
        </w:rPr>
        <w:t xml:space="preserve">2022 </w:t>
      </w:r>
      <w:r w:rsidR="006F4FE5" w:rsidRPr="00266E6B">
        <w:rPr>
          <w:rFonts w:ascii="Calibri" w:hAnsi="Calibri" w:cs="Calibri"/>
          <w:kern w:val="0"/>
          <w:sz w:val="22"/>
          <w:szCs w:val="22"/>
        </w:rPr>
        <w:t>article</w:t>
      </w:r>
      <w:r w:rsidR="00A45400" w:rsidRPr="00266E6B">
        <w:rPr>
          <w:rFonts w:ascii="Calibri" w:hAnsi="Calibri" w:cs="Calibri"/>
          <w:kern w:val="0"/>
          <w:sz w:val="22"/>
          <w:szCs w:val="22"/>
        </w:rPr>
        <w:t xml:space="preserve">; and we support the </w:t>
      </w:r>
      <w:r w:rsidR="00795107" w:rsidRPr="00266E6B">
        <w:rPr>
          <w:rFonts w:ascii="Calibri" w:hAnsi="Calibri" w:cs="Calibri"/>
          <w:kern w:val="0"/>
          <w:sz w:val="22"/>
          <w:szCs w:val="22"/>
        </w:rPr>
        <w:t>Commission</w:t>
      </w:r>
      <w:r w:rsidR="00882424" w:rsidRPr="00266E6B">
        <w:rPr>
          <w:rFonts w:ascii="Calibri" w:hAnsi="Calibri" w:cs="Calibri"/>
          <w:kern w:val="0"/>
          <w:sz w:val="22"/>
          <w:szCs w:val="22"/>
        </w:rPr>
        <w:t xml:space="preserve">’s </w:t>
      </w:r>
      <w:r w:rsidR="00A45400" w:rsidRPr="00266E6B">
        <w:rPr>
          <w:rFonts w:ascii="Calibri" w:hAnsi="Calibri" w:cs="Calibri"/>
          <w:kern w:val="0"/>
          <w:sz w:val="22"/>
          <w:szCs w:val="22"/>
        </w:rPr>
        <w:t>inclusion of the word survivor.</w:t>
      </w:r>
      <w:r w:rsidRPr="00266E6B">
        <w:rPr>
          <w:rFonts w:ascii="Calibri" w:hAnsi="Calibri" w:cs="Calibri"/>
          <w:kern w:val="0"/>
          <w:sz w:val="22"/>
          <w:szCs w:val="22"/>
        </w:rPr>
        <w:t xml:space="preserve"> </w:t>
      </w:r>
    </w:p>
    <w:p w14:paraId="3F3A5F8D" w14:textId="77777777" w:rsidR="00F12AD6" w:rsidRPr="00266E6B" w:rsidRDefault="00F12AD6" w:rsidP="0022235F">
      <w:pPr>
        <w:autoSpaceDE w:val="0"/>
        <w:autoSpaceDN w:val="0"/>
        <w:adjustRightInd w:val="0"/>
        <w:jc w:val="both"/>
        <w:rPr>
          <w:rFonts w:ascii="Calibri" w:hAnsi="Calibri" w:cs="Calibri"/>
          <w:kern w:val="0"/>
          <w:sz w:val="22"/>
          <w:szCs w:val="22"/>
        </w:rPr>
      </w:pPr>
    </w:p>
    <w:p w14:paraId="3EC8B275" w14:textId="77777777" w:rsidR="00F15926" w:rsidRPr="00266E6B" w:rsidRDefault="00900CFA" w:rsidP="002B1799">
      <w:pPr>
        <w:autoSpaceDE w:val="0"/>
        <w:autoSpaceDN w:val="0"/>
        <w:adjustRightInd w:val="0"/>
        <w:jc w:val="both"/>
        <w:rPr>
          <w:rFonts w:ascii="Calibri" w:hAnsi="Calibri" w:cs="Calibri"/>
          <w:kern w:val="0"/>
          <w:sz w:val="22"/>
          <w:szCs w:val="22"/>
        </w:rPr>
      </w:pPr>
      <w:r w:rsidRPr="00266E6B">
        <w:rPr>
          <w:rFonts w:ascii="Calibri" w:hAnsi="Calibri" w:cs="Calibri"/>
          <w:kern w:val="0"/>
          <w:sz w:val="22"/>
          <w:szCs w:val="22"/>
        </w:rPr>
        <w:t>In our 2022 article</w:t>
      </w:r>
      <w:r w:rsidR="00F15926" w:rsidRPr="00266E6B">
        <w:rPr>
          <w:rFonts w:ascii="Calibri" w:hAnsi="Calibri" w:cs="Calibri"/>
          <w:kern w:val="0"/>
          <w:sz w:val="22"/>
          <w:szCs w:val="22"/>
        </w:rPr>
        <w:t>,</w:t>
      </w:r>
      <w:r w:rsidRPr="00266E6B">
        <w:rPr>
          <w:rFonts w:ascii="Calibri" w:hAnsi="Calibri" w:cs="Calibri"/>
          <w:kern w:val="0"/>
          <w:sz w:val="22"/>
          <w:szCs w:val="22"/>
        </w:rPr>
        <w:t xml:space="preserve"> we flagged some</w:t>
      </w:r>
      <w:r w:rsidR="00495A46" w:rsidRPr="00266E6B">
        <w:rPr>
          <w:rFonts w:ascii="Calibri" w:hAnsi="Calibri" w:cs="Calibri"/>
          <w:kern w:val="0"/>
          <w:sz w:val="22"/>
          <w:szCs w:val="22"/>
        </w:rPr>
        <w:t xml:space="preserve"> of the key limitations that exist in relation to other terminology that has been </w:t>
      </w:r>
      <w:r w:rsidR="00F12AD6" w:rsidRPr="00266E6B">
        <w:rPr>
          <w:rFonts w:ascii="Calibri" w:hAnsi="Calibri" w:cs="Calibri"/>
          <w:kern w:val="0"/>
          <w:sz w:val="22"/>
          <w:szCs w:val="22"/>
        </w:rPr>
        <w:t>used</w:t>
      </w:r>
      <w:r w:rsidR="00495A46" w:rsidRPr="00266E6B">
        <w:rPr>
          <w:rFonts w:ascii="Calibri" w:hAnsi="Calibri" w:cs="Calibri"/>
          <w:kern w:val="0"/>
          <w:sz w:val="22"/>
          <w:szCs w:val="22"/>
        </w:rPr>
        <w:t xml:space="preserve"> in this area.</w:t>
      </w:r>
      <w:r w:rsidR="00971046" w:rsidRPr="00266E6B">
        <w:rPr>
          <w:rStyle w:val="FootnoteReference"/>
          <w:rFonts w:ascii="Calibri" w:hAnsi="Calibri" w:cs="Calibri"/>
          <w:kern w:val="0"/>
          <w:sz w:val="22"/>
          <w:szCs w:val="22"/>
        </w:rPr>
        <w:footnoteReference w:id="2"/>
      </w:r>
      <w:r w:rsidR="00312C46" w:rsidRPr="00266E6B">
        <w:rPr>
          <w:rFonts w:ascii="Calibri" w:hAnsi="Calibri" w:cs="Calibri"/>
          <w:kern w:val="0"/>
          <w:sz w:val="22"/>
          <w:szCs w:val="22"/>
        </w:rPr>
        <w:t xml:space="preserve"> For example, describing children as</w:t>
      </w:r>
      <w:r w:rsidR="00F5679E" w:rsidRPr="00266E6B">
        <w:rPr>
          <w:rFonts w:ascii="Calibri" w:hAnsi="Calibri" w:cs="Calibri"/>
          <w:kern w:val="0"/>
          <w:sz w:val="22"/>
          <w:szCs w:val="22"/>
        </w:rPr>
        <w:t xml:space="preserve"> ‘secondary’ or</w:t>
      </w:r>
      <w:r w:rsidR="00312C46" w:rsidRPr="00266E6B">
        <w:rPr>
          <w:rFonts w:ascii="Calibri" w:hAnsi="Calibri" w:cs="Calibri"/>
          <w:kern w:val="0"/>
          <w:sz w:val="22"/>
          <w:szCs w:val="22"/>
        </w:rPr>
        <w:t xml:space="preserve"> ‘indirect’ victims </w:t>
      </w:r>
      <w:r w:rsidR="0097586F" w:rsidRPr="00266E6B">
        <w:rPr>
          <w:rFonts w:ascii="Calibri" w:hAnsi="Calibri" w:cs="Calibri"/>
          <w:kern w:val="0"/>
          <w:sz w:val="22"/>
          <w:szCs w:val="22"/>
        </w:rPr>
        <w:t xml:space="preserve">of intimate partner domestic abuse </w:t>
      </w:r>
      <w:r w:rsidR="00776DC2" w:rsidRPr="00266E6B">
        <w:rPr>
          <w:rFonts w:ascii="Calibri" w:hAnsi="Calibri" w:cs="Calibri"/>
          <w:kern w:val="0"/>
          <w:sz w:val="22"/>
          <w:szCs w:val="22"/>
        </w:rPr>
        <w:t>tends to position children as ‘collateral’ victims who ‘witness’ or are ‘exposed’ to ‘adult’ coercive</w:t>
      </w:r>
      <w:r w:rsidR="00FA15EE" w:rsidRPr="00266E6B">
        <w:rPr>
          <w:rFonts w:ascii="Calibri" w:hAnsi="Calibri" w:cs="Calibri"/>
          <w:kern w:val="0"/>
          <w:sz w:val="22"/>
          <w:szCs w:val="22"/>
        </w:rPr>
        <w:t xml:space="preserve"> </w:t>
      </w:r>
      <w:r w:rsidR="00776DC2" w:rsidRPr="00266E6B">
        <w:rPr>
          <w:rFonts w:ascii="Calibri" w:hAnsi="Calibri" w:cs="Calibri"/>
          <w:kern w:val="0"/>
          <w:sz w:val="22"/>
          <w:szCs w:val="22"/>
        </w:rPr>
        <w:t>control.</w:t>
      </w:r>
      <w:r w:rsidR="00B152C2" w:rsidRPr="00266E6B">
        <w:rPr>
          <w:rStyle w:val="FootnoteReference"/>
          <w:rFonts w:ascii="Calibri" w:hAnsi="Calibri" w:cs="Calibri"/>
          <w:kern w:val="0"/>
          <w:sz w:val="22"/>
          <w:szCs w:val="22"/>
        </w:rPr>
        <w:t xml:space="preserve"> </w:t>
      </w:r>
      <w:r w:rsidR="00B152C2" w:rsidRPr="00266E6B">
        <w:rPr>
          <w:rStyle w:val="FootnoteReference"/>
          <w:rFonts w:ascii="Calibri" w:hAnsi="Calibri" w:cs="Calibri"/>
          <w:kern w:val="0"/>
          <w:sz w:val="22"/>
          <w:szCs w:val="22"/>
        </w:rPr>
        <w:footnoteReference w:id="3"/>
      </w:r>
      <w:r w:rsidR="00776DC2" w:rsidRPr="00266E6B">
        <w:rPr>
          <w:rFonts w:ascii="Calibri" w:hAnsi="Calibri" w:cs="Calibri"/>
          <w:kern w:val="0"/>
          <w:sz w:val="22"/>
          <w:szCs w:val="22"/>
        </w:rPr>
        <w:t xml:space="preserve"> These terms risk </w:t>
      </w:r>
      <w:r w:rsidR="0097586F" w:rsidRPr="00266E6B">
        <w:rPr>
          <w:rFonts w:ascii="Calibri" w:hAnsi="Calibri" w:cs="Calibri"/>
          <w:kern w:val="0"/>
          <w:sz w:val="22"/>
          <w:szCs w:val="22"/>
        </w:rPr>
        <w:t xml:space="preserve">downplaying </w:t>
      </w:r>
      <w:r w:rsidR="00F5679E" w:rsidRPr="00266E6B">
        <w:rPr>
          <w:rFonts w:ascii="Calibri" w:hAnsi="Calibri" w:cs="Calibri"/>
          <w:kern w:val="0"/>
          <w:sz w:val="22"/>
          <w:szCs w:val="22"/>
        </w:rPr>
        <w:t>the severe impacts of coercive control on children</w:t>
      </w:r>
      <w:r w:rsidR="0097586F" w:rsidRPr="00266E6B">
        <w:rPr>
          <w:rFonts w:ascii="Calibri" w:hAnsi="Calibri" w:cs="Calibri"/>
          <w:kern w:val="0"/>
          <w:sz w:val="22"/>
          <w:szCs w:val="22"/>
        </w:rPr>
        <w:t xml:space="preserve"> and</w:t>
      </w:r>
      <w:r w:rsidR="0097586F" w:rsidRPr="00266E6B">
        <w:rPr>
          <w:rFonts w:ascii="Calibri" w:hAnsi="Calibri" w:cs="Calibri"/>
          <w:i/>
          <w:iCs/>
          <w:kern w:val="0"/>
          <w:sz w:val="22"/>
          <w:szCs w:val="22"/>
        </w:rPr>
        <w:t xml:space="preserve"> </w:t>
      </w:r>
      <w:r w:rsidR="0097586F" w:rsidRPr="00266E6B">
        <w:rPr>
          <w:rFonts w:ascii="Calibri" w:hAnsi="Calibri" w:cs="Calibri"/>
          <w:kern w:val="0"/>
          <w:sz w:val="22"/>
          <w:szCs w:val="22"/>
        </w:rPr>
        <w:t>obscuring the</w:t>
      </w:r>
      <w:r w:rsidR="00B152C2" w:rsidRPr="00266E6B">
        <w:rPr>
          <w:rFonts w:ascii="Calibri" w:hAnsi="Calibri" w:cs="Calibri"/>
          <w:kern w:val="0"/>
          <w:sz w:val="22"/>
          <w:szCs w:val="22"/>
        </w:rPr>
        <w:t xml:space="preserve"> perpetrator’s</w:t>
      </w:r>
      <w:r w:rsidR="0097586F" w:rsidRPr="00266E6B">
        <w:rPr>
          <w:rFonts w:ascii="Calibri" w:hAnsi="Calibri" w:cs="Calibri"/>
          <w:kern w:val="0"/>
          <w:sz w:val="22"/>
          <w:szCs w:val="22"/>
        </w:rPr>
        <w:t xml:space="preserve"> </w:t>
      </w:r>
      <w:r w:rsidR="00F5679E" w:rsidRPr="00266E6B">
        <w:rPr>
          <w:rFonts w:ascii="Calibri" w:hAnsi="Calibri" w:cs="Calibri"/>
          <w:kern w:val="0"/>
          <w:sz w:val="22"/>
          <w:szCs w:val="22"/>
        </w:rPr>
        <w:t xml:space="preserve">responsibility for the harm caused to </w:t>
      </w:r>
      <w:r w:rsidR="00B152C2" w:rsidRPr="00266E6B">
        <w:rPr>
          <w:rFonts w:ascii="Calibri" w:hAnsi="Calibri" w:cs="Calibri"/>
          <w:kern w:val="0"/>
          <w:sz w:val="22"/>
          <w:szCs w:val="22"/>
        </w:rPr>
        <w:t>them</w:t>
      </w:r>
      <w:r w:rsidR="0097586F" w:rsidRPr="00266E6B">
        <w:rPr>
          <w:rFonts w:ascii="Calibri" w:hAnsi="Calibri" w:cs="Calibri"/>
          <w:kern w:val="0"/>
          <w:sz w:val="22"/>
          <w:szCs w:val="22"/>
        </w:rPr>
        <w:t xml:space="preserve">. </w:t>
      </w:r>
      <w:r w:rsidR="0056304A" w:rsidRPr="00266E6B">
        <w:rPr>
          <w:rFonts w:ascii="Calibri" w:hAnsi="Calibri" w:cs="Calibri"/>
          <w:kern w:val="0"/>
          <w:sz w:val="22"/>
          <w:szCs w:val="22"/>
        </w:rPr>
        <w:t xml:space="preserve">By </w:t>
      </w:r>
      <w:r w:rsidR="0097586F" w:rsidRPr="00266E6B">
        <w:rPr>
          <w:rFonts w:ascii="Calibri" w:hAnsi="Calibri" w:cs="Calibri"/>
          <w:kern w:val="0"/>
          <w:sz w:val="22"/>
          <w:szCs w:val="22"/>
        </w:rPr>
        <w:t>contrast terms such as ‘distinct</w:t>
      </w:r>
      <w:r w:rsidR="00EA4BBC" w:rsidRPr="00266E6B">
        <w:rPr>
          <w:rFonts w:ascii="Calibri" w:hAnsi="Calibri" w:cs="Calibri"/>
          <w:kern w:val="0"/>
          <w:sz w:val="22"/>
          <w:szCs w:val="22"/>
        </w:rPr>
        <w:t xml:space="preserve"> </w:t>
      </w:r>
      <w:r w:rsidR="0097586F" w:rsidRPr="00266E6B">
        <w:rPr>
          <w:rFonts w:ascii="Calibri" w:hAnsi="Calibri" w:cs="Calibri"/>
          <w:kern w:val="0"/>
          <w:sz w:val="22"/>
          <w:szCs w:val="22"/>
        </w:rPr>
        <w:t xml:space="preserve">victim’ or ‘victim in their own right’ risk implying that a child’s victim status </w:t>
      </w:r>
      <w:r w:rsidR="0056304A" w:rsidRPr="00266E6B">
        <w:rPr>
          <w:rFonts w:ascii="Calibri" w:hAnsi="Calibri" w:cs="Calibri"/>
          <w:kern w:val="0"/>
          <w:sz w:val="22"/>
          <w:szCs w:val="22"/>
        </w:rPr>
        <w:t xml:space="preserve">in relation to intimate partner domestic abuse </w:t>
      </w:r>
      <w:r w:rsidR="0097586F" w:rsidRPr="00266E6B">
        <w:rPr>
          <w:rFonts w:ascii="Calibri" w:hAnsi="Calibri" w:cs="Calibri"/>
          <w:kern w:val="0"/>
          <w:sz w:val="22"/>
          <w:szCs w:val="22"/>
        </w:rPr>
        <w:t>can arise even if the adult victim did not experience abuse</w:t>
      </w:r>
      <w:r w:rsidR="00EA4BBC" w:rsidRPr="00266E6B">
        <w:rPr>
          <w:rFonts w:ascii="Calibri" w:hAnsi="Calibri" w:cs="Calibri"/>
          <w:kern w:val="0"/>
          <w:sz w:val="22"/>
          <w:szCs w:val="22"/>
        </w:rPr>
        <w:t>.</w:t>
      </w:r>
      <w:r w:rsidR="00B152C2" w:rsidRPr="00266E6B">
        <w:rPr>
          <w:rStyle w:val="FootnoteReference"/>
          <w:rFonts w:ascii="Calibri" w:hAnsi="Calibri" w:cs="Calibri"/>
          <w:kern w:val="0"/>
          <w:sz w:val="22"/>
          <w:szCs w:val="22"/>
        </w:rPr>
        <w:footnoteReference w:id="4"/>
      </w:r>
      <w:r w:rsidR="00EA4BBC" w:rsidRPr="00266E6B">
        <w:rPr>
          <w:rFonts w:ascii="Calibri" w:hAnsi="Calibri" w:cs="Calibri"/>
          <w:kern w:val="0"/>
          <w:sz w:val="22"/>
          <w:szCs w:val="22"/>
        </w:rPr>
        <w:t xml:space="preserve"> </w:t>
      </w:r>
    </w:p>
    <w:p w14:paraId="399F80D1" w14:textId="77777777" w:rsidR="00F15926" w:rsidRPr="00266E6B" w:rsidRDefault="00F15926" w:rsidP="002B1799">
      <w:pPr>
        <w:autoSpaceDE w:val="0"/>
        <w:autoSpaceDN w:val="0"/>
        <w:adjustRightInd w:val="0"/>
        <w:jc w:val="both"/>
        <w:rPr>
          <w:rFonts w:ascii="Calibri" w:hAnsi="Calibri" w:cs="Calibri"/>
          <w:kern w:val="0"/>
          <w:sz w:val="22"/>
          <w:szCs w:val="22"/>
        </w:rPr>
      </w:pPr>
    </w:p>
    <w:p w14:paraId="2CCDCFA5" w14:textId="10EA6A3E" w:rsidR="002B1799" w:rsidRPr="00266E6B" w:rsidRDefault="006D2713" w:rsidP="002B1799">
      <w:pPr>
        <w:autoSpaceDE w:val="0"/>
        <w:autoSpaceDN w:val="0"/>
        <w:adjustRightInd w:val="0"/>
        <w:jc w:val="both"/>
        <w:rPr>
          <w:rFonts w:ascii="Calibri" w:hAnsi="Calibri" w:cs="Calibri"/>
          <w:kern w:val="0"/>
          <w:sz w:val="22"/>
          <w:szCs w:val="22"/>
        </w:rPr>
      </w:pPr>
      <w:r w:rsidRPr="00266E6B">
        <w:rPr>
          <w:rFonts w:ascii="Calibri" w:hAnsi="Calibri" w:cs="Calibri"/>
          <w:kern w:val="0"/>
          <w:sz w:val="22"/>
          <w:szCs w:val="22"/>
        </w:rPr>
        <w:t xml:space="preserve">The </w:t>
      </w:r>
      <w:r w:rsidR="00B152C2" w:rsidRPr="00266E6B">
        <w:rPr>
          <w:rFonts w:ascii="Calibri" w:hAnsi="Calibri" w:cs="Calibri"/>
          <w:kern w:val="0"/>
          <w:sz w:val="22"/>
          <w:szCs w:val="22"/>
        </w:rPr>
        <w:t xml:space="preserve">Commission </w:t>
      </w:r>
      <w:r w:rsidRPr="00266E6B">
        <w:rPr>
          <w:rFonts w:ascii="Calibri" w:hAnsi="Calibri" w:cs="Calibri"/>
          <w:kern w:val="0"/>
          <w:sz w:val="22"/>
          <w:szCs w:val="22"/>
        </w:rPr>
        <w:t xml:space="preserve">also discusses </w:t>
      </w:r>
      <w:r w:rsidR="0056304A" w:rsidRPr="00266E6B">
        <w:rPr>
          <w:rFonts w:ascii="Calibri" w:hAnsi="Calibri" w:cs="Calibri"/>
          <w:kern w:val="0"/>
          <w:sz w:val="22"/>
          <w:szCs w:val="22"/>
        </w:rPr>
        <w:t>the term</w:t>
      </w:r>
      <w:r w:rsidRPr="00266E6B">
        <w:rPr>
          <w:rFonts w:ascii="Calibri" w:hAnsi="Calibri" w:cs="Calibri"/>
          <w:kern w:val="0"/>
          <w:sz w:val="22"/>
          <w:szCs w:val="22"/>
        </w:rPr>
        <w:t xml:space="preserve"> </w:t>
      </w:r>
      <w:r w:rsidR="00B152C2" w:rsidRPr="00266E6B">
        <w:rPr>
          <w:rFonts w:ascii="Calibri" w:hAnsi="Calibri" w:cs="Calibri"/>
          <w:kern w:val="0"/>
          <w:sz w:val="22"/>
          <w:szCs w:val="22"/>
        </w:rPr>
        <w:t>‘</w:t>
      </w:r>
      <w:r w:rsidRPr="00266E6B">
        <w:rPr>
          <w:rFonts w:ascii="Calibri" w:hAnsi="Calibri" w:cs="Calibri"/>
          <w:kern w:val="0"/>
          <w:sz w:val="22"/>
          <w:szCs w:val="22"/>
        </w:rPr>
        <w:t>co-victim</w:t>
      </w:r>
      <w:r w:rsidR="00B152C2" w:rsidRPr="00266E6B">
        <w:rPr>
          <w:rFonts w:ascii="Calibri" w:hAnsi="Calibri" w:cs="Calibri"/>
          <w:kern w:val="0"/>
          <w:sz w:val="22"/>
          <w:szCs w:val="22"/>
        </w:rPr>
        <w:t>’ in its Discussion Paper</w:t>
      </w:r>
      <w:r w:rsidRPr="00266E6B">
        <w:rPr>
          <w:rFonts w:ascii="Calibri" w:hAnsi="Calibri" w:cs="Calibri"/>
          <w:kern w:val="0"/>
          <w:sz w:val="22"/>
          <w:szCs w:val="22"/>
        </w:rPr>
        <w:t xml:space="preserve"> </w:t>
      </w:r>
      <w:r w:rsidR="0056304A" w:rsidRPr="00266E6B">
        <w:rPr>
          <w:rFonts w:ascii="Calibri" w:hAnsi="Calibri" w:cs="Calibri"/>
          <w:kern w:val="0"/>
          <w:sz w:val="22"/>
          <w:szCs w:val="22"/>
        </w:rPr>
        <w:t>and</w:t>
      </w:r>
      <w:r w:rsidRPr="00266E6B">
        <w:rPr>
          <w:rFonts w:ascii="Calibri" w:hAnsi="Calibri" w:cs="Calibri"/>
          <w:kern w:val="0"/>
          <w:sz w:val="22"/>
          <w:szCs w:val="22"/>
        </w:rPr>
        <w:t xml:space="preserve"> concludes </w:t>
      </w:r>
      <w:r w:rsidR="0056304A" w:rsidRPr="00266E6B">
        <w:rPr>
          <w:rFonts w:ascii="Calibri" w:hAnsi="Calibri" w:cs="Calibri"/>
          <w:kern w:val="0"/>
          <w:sz w:val="22"/>
          <w:szCs w:val="22"/>
        </w:rPr>
        <w:t>it is not workable because</w:t>
      </w:r>
      <w:r w:rsidRPr="00266E6B">
        <w:rPr>
          <w:rFonts w:ascii="Calibri" w:hAnsi="Calibri" w:cs="Calibri"/>
          <w:kern w:val="0"/>
          <w:sz w:val="22"/>
          <w:szCs w:val="22"/>
        </w:rPr>
        <w:t xml:space="preserve"> </w:t>
      </w:r>
      <w:r w:rsidR="00B102DA" w:rsidRPr="00266E6B">
        <w:rPr>
          <w:rFonts w:ascii="Calibri" w:hAnsi="Calibri" w:cs="Calibri"/>
          <w:kern w:val="0"/>
          <w:sz w:val="22"/>
          <w:szCs w:val="22"/>
        </w:rPr>
        <w:t>“</w:t>
      </w:r>
      <w:r w:rsidR="00071F33" w:rsidRPr="00266E6B">
        <w:rPr>
          <w:rFonts w:ascii="Calibri" w:hAnsi="Calibri" w:cs="Calibri"/>
          <w:kern w:val="0"/>
          <w:sz w:val="22"/>
          <w:szCs w:val="22"/>
        </w:rPr>
        <w:t>[t]</w:t>
      </w:r>
      <w:r w:rsidRPr="00266E6B">
        <w:rPr>
          <w:rFonts w:ascii="Calibri" w:hAnsi="Calibri" w:cs="Calibri"/>
          <w:kern w:val="0"/>
          <w:sz w:val="22"/>
          <w:szCs w:val="22"/>
        </w:rPr>
        <w:t>he parent is the victim/survivor of the domestic abuse: the child is the victim of experiencing (often intensely) that abuse perpetrated against a parent. The abuse they experience is different, and they are not co-victims in that sense.</w:t>
      </w:r>
      <w:r w:rsidR="00B102DA" w:rsidRPr="00266E6B">
        <w:rPr>
          <w:rFonts w:ascii="Calibri" w:hAnsi="Calibri" w:cs="Calibri"/>
          <w:kern w:val="0"/>
          <w:sz w:val="22"/>
          <w:szCs w:val="22"/>
        </w:rPr>
        <w:t>”</w:t>
      </w:r>
      <w:r w:rsidR="0056304A" w:rsidRPr="00266E6B">
        <w:rPr>
          <w:rFonts w:ascii="Calibri" w:hAnsi="Calibri" w:cs="Calibri"/>
          <w:kern w:val="0"/>
          <w:sz w:val="22"/>
          <w:szCs w:val="22"/>
        </w:rPr>
        <w:t xml:space="preserve"> </w:t>
      </w:r>
      <w:r w:rsidR="00F15926" w:rsidRPr="00266E6B">
        <w:rPr>
          <w:rFonts w:ascii="Calibri" w:hAnsi="Calibri" w:cs="Calibri"/>
          <w:kern w:val="0"/>
          <w:sz w:val="22"/>
          <w:szCs w:val="22"/>
        </w:rPr>
        <w:t xml:space="preserve">We agree with this and would further add </w:t>
      </w:r>
      <w:r w:rsidRPr="00266E6B">
        <w:rPr>
          <w:rFonts w:ascii="Calibri" w:hAnsi="Calibri" w:cs="Calibri"/>
          <w:color w:val="000000" w:themeColor="text1"/>
          <w:kern w:val="0"/>
          <w:sz w:val="22"/>
          <w:szCs w:val="22"/>
        </w:rPr>
        <w:t xml:space="preserve">that </w:t>
      </w:r>
      <w:r w:rsidR="0056304A" w:rsidRPr="00266E6B">
        <w:rPr>
          <w:rFonts w:ascii="Calibri" w:hAnsi="Calibri" w:cs="Calibri"/>
          <w:color w:val="000000" w:themeColor="text1"/>
          <w:kern w:val="0"/>
          <w:sz w:val="22"/>
          <w:szCs w:val="22"/>
        </w:rPr>
        <w:t>co-victim</w:t>
      </w:r>
      <w:r w:rsidRPr="00266E6B">
        <w:rPr>
          <w:rFonts w:ascii="Calibri" w:hAnsi="Calibri" w:cs="Calibri"/>
          <w:color w:val="000000" w:themeColor="text1"/>
          <w:kern w:val="0"/>
          <w:sz w:val="22"/>
          <w:szCs w:val="22"/>
        </w:rPr>
        <w:t xml:space="preserve"> is use</w:t>
      </w:r>
      <w:r w:rsidR="0056304A" w:rsidRPr="00266E6B">
        <w:rPr>
          <w:rFonts w:ascii="Calibri" w:hAnsi="Calibri" w:cs="Calibri"/>
          <w:color w:val="000000" w:themeColor="text1"/>
          <w:kern w:val="0"/>
          <w:sz w:val="22"/>
          <w:szCs w:val="22"/>
        </w:rPr>
        <w:t>d</w:t>
      </w:r>
      <w:r w:rsidRPr="00266E6B">
        <w:rPr>
          <w:rFonts w:ascii="Calibri" w:hAnsi="Calibri" w:cs="Calibri"/>
          <w:color w:val="000000" w:themeColor="text1"/>
          <w:kern w:val="0"/>
          <w:sz w:val="22"/>
          <w:szCs w:val="22"/>
        </w:rPr>
        <w:t xml:space="preserve"> in </w:t>
      </w:r>
      <w:r w:rsidR="0056304A" w:rsidRPr="00266E6B">
        <w:rPr>
          <w:rFonts w:ascii="Calibri" w:hAnsi="Calibri" w:cs="Calibri"/>
          <w:color w:val="000000" w:themeColor="text1"/>
          <w:kern w:val="0"/>
          <w:sz w:val="22"/>
          <w:szCs w:val="22"/>
        </w:rPr>
        <w:t>criminological</w:t>
      </w:r>
      <w:r w:rsidRPr="00266E6B">
        <w:rPr>
          <w:rFonts w:ascii="Calibri" w:hAnsi="Calibri" w:cs="Calibri"/>
          <w:color w:val="000000" w:themeColor="text1"/>
          <w:kern w:val="0"/>
          <w:sz w:val="22"/>
          <w:szCs w:val="22"/>
        </w:rPr>
        <w:t xml:space="preserve"> literature in a way that is similar to</w:t>
      </w:r>
      <w:r w:rsidR="00F15926" w:rsidRPr="00266E6B">
        <w:rPr>
          <w:rFonts w:ascii="Calibri" w:hAnsi="Calibri" w:cs="Calibri"/>
          <w:color w:val="000000" w:themeColor="text1"/>
          <w:kern w:val="0"/>
          <w:sz w:val="22"/>
          <w:szCs w:val="22"/>
        </w:rPr>
        <w:t>,</w:t>
      </w:r>
      <w:r w:rsidRPr="00266E6B">
        <w:rPr>
          <w:rFonts w:ascii="Calibri" w:hAnsi="Calibri" w:cs="Calibri"/>
          <w:color w:val="000000" w:themeColor="text1"/>
          <w:kern w:val="0"/>
          <w:sz w:val="22"/>
          <w:szCs w:val="22"/>
        </w:rPr>
        <w:t xml:space="preserve"> or interchangeable with</w:t>
      </w:r>
      <w:r w:rsidR="00F15926" w:rsidRPr="00266E6B">
        <w:rPr>
          <w:rFonts w:ascii="Calibri" w:hAnsi="Calibri" w:cs="Calibri"/>
          <w:color w:val="000000" w:themeColor="text1"/>
          <w:kern w:val="0"/>
          <w:sz w:val="22"/>
          <w:szCs w:val="22"/>
        </w:rPr>
        <w:t>,</w:t>
      </w:r>
      <w:r w:rsidRPr="00266E6B">
        <w:rPr>
          <w:rFonts w:ascii="Calibri" w:hAnsi="Calibri" w:cs="Calibri"/>
          <w:color w:val="000000" w:themeColor="text1"/>
          <w:kern w:val="0"/>
          <w:sz w:val="22"/>
          <w:szCs w:val="22"/>
        </w:rPr>
        <w:t xml:space="preserve"> ‘secondary’ or ‘indirect’;</w:t>
      </w:r>
      <w:r w:rsidRPr="00266E6B">
        <w:rPr>
          <w:rStyle w:val="FootnoteReference"/>
          <w:rFonts w:ascii="Calibri" w:hAnsi="Calibri" w:cs="Calibri"/>
          <w:color w:val="000000" w:themeColor="text1"/>
          <w:kern w:val="0"/>
          <w:sz w:val="22"/>
          <w:szCs w:val="22"/>
        </w:rPr>
        <w:footnoteReference w:id="5"/>
      </w:r>
      <w:r w:rsidRPr="00266E6B">
        <w:rPr>
          <w:rFonts w:ascii="Calibri" w:hAnsi="Calibri" w:cs="Calibri"/>
          <w:color w:val="000000" w:themeColor="text1"/>
          <w:kern w:val="0"/>
          <w:sz w:val="22"/>
          <w:szCs w:val="22"/>
        </w:rPr>
        <w:t xml:space="preserve"> for example</w:t>
      </w:r>
      <w:r w:rsidR="0056304A" w:rsidRPr="00266E6B">
        <w:rPr>
          <w:rFonts w:ascii="Calibri" w:hAnsi="Calibri" w:cs="Calibri"/>
          <w:color w:val="000000" w:themeColor="text1"/>
          <w:kern w:val="0"/>
          <w:sz w:val="22"/>
          <w:szCs w:val="22"/>
        </w:rPr>
        <w:t>, a</w:t>
      </w:r>
      <w:r w:rsidRPr="00266E6B">
        <w:rPr>
          <w:rFonts w:ascii="Calibri" w:hAnsi="Calibri" w:cs="Calibri"/>
          <w:color w:val="000000" w:themeColor="text1"/>
          <w:kern w:val="0"/>
          <w:sz w:val="22"/>
          <w:szCs w:val="22"/>
        </w:rPr>
        <w:t xml:space="preserve"> “</w:t>
      </w:r>
      <w:r w:rsidRPr="00266E6B">
        <w:rPr>
          <w:rFonts w:ascii="Calibri" w:hAnsi="Calibri" w:cs="Calibri"/>
          <w:color w:val="000000" w:themeColor="text1"/>
          <w:sz w:val="22"/>
          <w:szCs w:val="22"/>
          <w:shd w:val="clear" w:color="auto" w:fill="FFFFFF"/>
        </w:rPr>
        <w:t>‘co-victim’ of an act of violence is anyone who is harmed as a direct result of witnessing the act of violence that resulted in the injury or death of the primary victim”</w:t>
      </w:r>
      <w:r w:rsidR="008B3844" w:rsidRPr="00266E6B">
        <w:rPr>
          <w:rFonts w:ascii="Calibri" w:hAnsi="Calibri" w:cs="Calibri"/>
          <w:color w:val="000000" w:themeColor="text1"/>
          <w:sz w:val="22"/>
          <w:szCs w:val="22"/>
          <w:shd w:val="clear" w:color="auto" w:fill="FFFFFF"/>
        </w:rPr>
        <w:t>.</w:t>
      </w:r>
      <w:r w:rsidR="00B102DA" w:rsidRPr="00266E6B">
        <w:rPr>
          <w:rStyle w:val="FootnoteReference"/>
          <w:rFonts w:ascii="Calibri" w:hAnsi="Calibri" w:cs="Calibri"/>
          <w:color w:val="000000" w:themeColor="text1"/>
          <w:sz w:val="22"/>
          <w:szCs w:val="22"/>
          <w:shd w:val="clear" w:color="auto" w:fill="FFFFFF"/>
        </w:rPr>
        <w:footnoteReference w:id="6"/>
      </w:r>
      <w:r w:rsidRPr="00266E6B">
        <w:rPr>
          <w:rFonts w:ascii="Calibri" w:hAnsi="Calibri" w:cs="Calibri"/>
          <w:color w:val="000000" w:themeColor="text1"/>
          <w:sz w:val="22"/>
          <w:szCs w:val="22"/>
          <w:shd w:val="clear" w:color="auto" w:fill="FFFFFF"/>
        </w:rPr>
        <w:t xml:space="preserve"> </w:t>
      </w:r>
      <w:r w:rsidRPr="00266E6B">
        <w:rPr>
          <w:rFonts w:ascii="Calibri" w:hAnsi="Calibri" w:cs="Calibri"/>
          <w:color w:val="000000" w:themeColor="text1"/>
          <w:kern w:val="0"/>
          <w:sz w:val="22"/>
          <w:szCs w:val="22"/>
        </w:rPr>
        <w:t xml:space="preserve">The term </w:t>
      </w:r>
      <w:r w:rsidR="004F492F" w:rsidRPr="00266E6B">
        <w:rPr>
          <w:rFonts w:ascii="Calibri" w:hAnsi="Calibri" w:cs="Calibri"/>
          <w:color w:val="000000" w:themeColor="text1"/>
          <w:kern w:val="0"/>
          <w:sz w:val="22"/>
          <w:szCs w:val="22"/>
        </w:rPr>
        <w:t xml:space="preserve">co-victim </w:t>
      </w:r>
      <w:r w:rsidRPr="00266E6B">
        <w:rPr>
          <w:rFonts w:ascii="Calibri" w:hAnsi="Calibri" w:cs="Calibri"/>
          <w:color w:val="000000" w:themeColor="text1"/>
          <w:kern w:val="0"/>
          <w:sz w:val="22"/>
          <w:szCs w:val="22"/>
        </w:rPr>
        <w:t xml:space="preserve">is used in homicide literature to refer to </w:t>
      </w:r>
      <w:r w:rsidR="004F492F" w:rsidRPr="00266E6B">
        <w:rPr>
          <w:rFonts w:ascii="Calibri" w:hAnsi="Calibri" w:cs="Calibri"/>
          <w:color w:val="000000" w:themeColor="text1"/>
          <w:kern w:val="0"/>
          <w:sz w:val="22"/>
          <w:szCs w:val="22"/>
        </w:rPr>
        <w:t xml:space="preserve">surviving </w:t>
      </w:r>
      <w:r w:rsidRPr="00266E6B">
        <w:rPr>
          <w:rFonts w:ascii="Calibri" w:hAnsi="Calibri" w:cs="Calibri"/>
          <w:color w:val="000000" w:themeColor="text1"/>
          <w:kern w:val="0"/>
          <w:sz w:val="22"/>
          <w:szCs w:val="22"/>
        </w:rPr>
        <w:t xml:space="preserve">family members of </w:t>
      </w:r>
      <w:r w:rsidRPr="00266E6B">
        <w:rPr>
          <w:rFonts w:ascii="Calibri" w:hAnsi="Calibri" w:cs="Calibri"/>
          <w:color w:val="000000" w:themeColor="text1"/>
          <w:kern w:val="0"/>
          <w:sz w:val="22"/>
          <w:szCs w:val="22"/>
        </w:rPr>
        <w:lastRenderedPageBreak/>
        <w:t>homicide victims</w:t>
      </w:r>
      <w:r w:rsidR="008B3844" w:rsidRPr="00266E6B">
        <w:rPr>
          <w:rFonts w:ascii="Calibri" w:hAnsi="Calibri" w:cs="Calibri"/>
          <w:color w:val="000000" w:themeColor="text1"/>
          <w:kern w:val="0"/>
          <w:sz w:val="22"/>
          <w:szCs w:val="22"/>
        </w:rPr>
        <w:t>,</w:t>
      </w:r>
      <w:r w:rsidR="00804536" w:rsidRPr="00266E6B">
        <w:rPr>
          <w:rStyle w:val="FootnoteReference"/>
          <w:rFonts w:ascii="Calibri" w:hAnsi="Calibri" w:cs="Calibri"/>
          <w:color w:val="000000" w:themeColor="text1"/>
          <w:kern w:val="0"/>
          <w:sz w:val="22"/>
          <w:szCs w:val="22"/>
        </w:rPr>
        <w:footnoteReference w:id="7"/>
      </w:r>
      <w:r w:rsidR="008B3844" w:rsidRPr="00266E6B">
        <w:rPr>
          <w:rFonts w:ascii="Calibri" w:hAnsi="Calibri" w:cs="Calibri"/>
          <w:color w:val="000000" w:themeColor="text1"/>
          <w:kern w:val="0"/>
          <w:sz w:val="22"/>
          <w:szCs w:val="22"/>
        </w:rPr>
        <w:t xml:space="preserve"> who are indirectly victimised.</w:t>
      </w:r>
      <w:r w:rsidRPr="00266E6B">
        <w:rPr>
          <w:rStyle w:val="FootnoteReference"/>
          <w:rFonts w:ascii="Calibri" w:hAnsi="Calibri" w:cs="Calibri"/>
          <w:color w:val="000000" w:themeColor="text1"/>
          <w:kern w:val="0"/>
          <w:sz w:val="22"/>
          <w:szCs w:val="22"/>
        </w:rPr>
        <w:footnoteReference w:id="8"/>
      </w:r>
      <w:r w:rsidR="008B3844" w:rsidRPr="00266E6B">
        <w:rPr>
          <w:rFonts w:ascii="Calibri" w:hAnsi="Calibri" w:cs="Calibri"/>
          <w:color w:val="000000" w:themeColor="text1"/>
          <w:kern w:val="0"/>
          <w:sz w:val="22"/>
          <w:szCs w:val="22"/>
        </w:rPr>
        <w:t xml:space="preserve"> </w:t>
      </w:r>
      <w:r w:rsidR="00F15926" w:rsidRPr="00266E6B">
        <w:rPr>
          <w:rFonts w:ascii="Calibri" w:hAnsi="Calibri" w:cs="Calibri"/>
          <w:color w:val="000000" w:themeColor="text1"/>
          <w:kern w:val="0"/>
          <w:sz w:val="22"/>
          <w:szCs w:val="22"/>
        </w:rPr>
        <w:t xml:space="preserve">While we therefore </w:t>
      </w:r>
      <w:r w:rsidR="00336B3B" w:rsidRPr="00266E6B">
        <w:rPr>
          <w:rFonts w:ascii="Calibri" w:hAnsi="Calibri" w:cs="Calibri"/>
          <w:color w:val="000000" w:themeColor="text1"/>
          <w:kern w:val="0"/>
          <w:sz w:val="22"/>
          <w:szCs w:val="22"/>
        </w:rPr>
        <w:t>see the appeal of the term co-victim</w:t>
      </w:r>
      <w:r w:rsidR="00B152C2" w:rsidRPr="00266E6B">
        <w:rPr>
          <w:rFonts w:ascii="Calibri" w:hAnsi="Calibri" w:cs="Calibri"/>
          <w:color w:val="000000" w:themeColor="text1"/>
          <w:kern w:val="0"/>
          <w:sz w:val="22"/>
          <w:szCs w:val="22"/>
        </w:rPr>
        <w:t xml:space="preserve"> because of its simplicity</w:t>
      </w:r>
      <w:r w:rsidR="00336B3B" w:rsidRPr="00266E6B">
        <w:rPr>
          <w:rFonts w:ascii="Calibri" w:hAnsi="Calibri" w:cs="Calibri"/>
          <w:color w:val="000000" w:themeColor="text1"/>
          <w:kern w:val="0"/>
          <w:sz w:val="22"/>
          <w:szCs w:val="22"/>
        </w:rPr>
        <w:t>, w</w:t>
      </w:r>
      <w:r w:rsidR="008B3844" w:rsidRPr="00266E6B">
        <w:rPr>
          <w:rFonts w:ascii="Calibri" w:hAnsi="Calibri" w:cs="Calibri"/>
          <w:color w:val="000000" w:themeColor="text1"/>
          <w:kern w:val="0"/>
          <w:sz w:val="22"/>
          <w:szCs w:val="22"/>
        </w:rPr>
        <w:t xml:space="preserve">e are a cautious of </w:t>
      </w:r>
      <w:r w:rsidR="00767EDD" w:rsidRPr="00266E6B">
        <w:rPr>
          <w:rFonts w:ascii="Calibri" w:hAnsi="Calibri" w:cs="Calibri"/>
          <w:color w:val="000000" w:themeColor="text1"/>
          <w:kern w:val="0"/>
          <w:sz w:val="22"/>
          <w:szCs w:val="22"/>
        </w:rPr>
        <w:t xml:space="preserve">using </w:t>
      </w:r>
      <w:r w:rsidR="008B3844" w:rsidRPr="00266E6B">
        <w:rPr>
          <w:rFonts w:ascii="Calibri" w:hAnsi="Calibri" w:cs="Calibri"/>
          <w:color w:val="000000" w:themeColor="text1"/>
          <w:kern w:val="0"/>
          <w:sz w:val="22"/>
          <w:szCs w:val="22"/>
        </w:rPr>
        <w:t xml:space="preserve">a term that </w:t>
      </w:r>
      <w:r w:rsidR="007F7C73" w:rsidRPr="00266E6B">
        <w:rPr>
          <w:rFonts w:ascii="Calibri" w:hAnsi="Calibri" w:cs="Calibri"/>
          <w:color w:val="000000" w:themeColor="text1"/>
          <w:kern w:val="0"/>
          <w:sz w:val="22"/>
          <w:szCs w:val="22"/>
        </w:rPr>
        <w:t xml:space="preserve">already </w:t>
      </w:r>
      <w:r w:rsidR="008B3844" w:rsidRPr="00266E6B">
        <w:rPr>
          <w:rFonts w:ascii="Calibri" w:hAnsi="Calibri" w:cs="Calibri"/>
          <w:color w:val="000000" w:themeColor="text1"/>
          <w:kern w:val="0"/>
          <w:sz w:val="22"/>
          <w:szCs w:val="22"/>
        </w:rPr>
        <w:t>has an association with ‘secondary’ or ‘indirect’</w:t>
      </w:r>
      <w:r w:rsidR="00767EDD" w:rsidRPr="00266E6B">
        <w:rPr>
          <w:rFonts w:ascii="Calibri" w:hAnsi="Calibri" w:cs="Calibri"/>
          <w:color w:val="000000" w:themeColor="text1"/>
          <w:kern w:val="0"/>
          <w:sz w:val="22"/>
          <w:szCs w:val="22"/>
        </w:rPr>
        <w:t>,</w:t>
      </w:r>
      <w:r w:rsidR="008B3844" w:rsidRPr="00266E6B">
        <w:rPr>
          <w:rFonts w:ascii="Calibri" w:hAnsi="Calibri" w:cs="Calibri"/>
          <w:color w:val="000000" w:themeColor="text1"/>
          <w:kern w:val="0"/>
          <w:sz w:val="22"/>
          <w:szCs w:val="22"/>
        </w:rPr>
        <w:t xml:space="preserve"> </w:t>
      </w:r>
      <w:r w:rsidR="00767EDD" w:rsidRPr="00266E6B">
        <w:rPr>
          <w:rFonts w:ascii="Calibri" w:hAnsi="Calibri" w:cs="Calibri"/>
          <w:color w:val="000000" w:themeColor="text1"/>
          <w:kern w:val="0"/>
          <w:sz w:val="22"/>
          <w:szCs w:val="22"/>
        </w:rPr>
        <w:t xml:space="preserve">and with a different context, </w:t>
      </w:r>
      <w:r w:rsidR="008B3844" w:rsidRPr="00266E6B">
        <w:rPr>
          <w:rFonts w:ascii="Calibri" w:hAnsi="Calibri" w:cs="Calibri"/>
          <w:color w:val="000000" w:themeColor="text1"/>
          <w:kern w:val="0"/>
          <w:sz w:val="22"/>
          <w:szCs w:val="22"/>
        </w:rPr>
        <w:t xml:space="preserve">in the context of </w:t>
      </w:r>
      <w:r w:rsidR="00094F48" w:rsidRPr="00266E6B">
        <w:rPr>
          <w:rFonts w:ascii="Calibri" w:hAnsi="Calibri" w:cs="Calibri"/>
          <w:color w:val="000000" w:themeColor="text1"/>
          <w:kern w:val="0"/>
          <w:sz w:val="22"/>
          <w:szCs w:val="22"/>
        </w:rPr>
        <w:t>intimate</w:t>
      </w:r>
      <w:r w:rsidR="008B3844" w:rsidRPr="00266E6B">
        <w:rPr>
          <w:rFonts w:ascii="Calibri" w:hAnsi="Calibri" w:cs="Calibri"/>
          <w:color w:val="000000" w:themeColor="text1"/>
          <w:kern w:val="0"/>
          <w:sz w:val="22"/>
          <w:szCs w:val="22"/>
        </w:rPr>
        <w:t xml:space="preserve"> partner domestic abuse.</w:t>
      </w:r>
      <w:r w:rsidR="00094F48" w:rsidRPr="00266E6B">
        <w:rPr>
          <w:rFonts w:ascii="Calibri" w:hAnsi="Calibri" w:cs="Calibri"/>
          <w:color w:val="000000" w:themeColor="text1"/>
          <w:kern w:val="0"/>
          <w:sz w:val="22"/>
          <w:szCs w:val="22"/>
        </w:rPr>
        <w:t xml:space="preserve"> </w:t>
      </w:r>
      <w:r w:rsidR="002B1799" w:rsidRPr="00266E6B">
        <w:rPr>
          <w:rFonts w:ascii="Calibri" w:hAnsi="Calibri" w:cs="Calibri"/>
          <w:kern w:val="0"/>
          <w:sz w:val="22"/>
          <w:szCs w:val="22"/>
        </w:rPr>
        <w:t xml:space="preserve">By contrast we have recommended ‘adjoined victims’ as a specialist term </w:t>
      </w:r>
      <w:r w:rsidR="00094F48" w:rsidRPr="00266E6B">
        <w:rPr>
          <w:rFonts w:ascii="Calibri" w:hAnsi="Calibri" w:cs="Calibri"/>
          <w:kern w:val="0"/>
          <w:sz w:val="22"/>
          <w:szCs w:val="22"/>
        </w:rPr>
        <w:t xml:space="preserve">to refer specifically to children </w:t>
      </w:r>
      <w:r w:rsidR="007F7C73" w:rsidRPr="00266E6B">
        <w:rPr>
          <w:rFonts w:ascii="Calibri" w:hAnsi="Calibri" w:cs="Calibri"/>
          <w:kern w:val="0"/>
          <w:sz w:val="22"/>
          <w:szCs w:val="22"/>
        </w:rPr>
        <w:t>who experience</w:t>
      </w:r>
      <w:r w:rsidR="00094F48" w:rsidRPr="00266E6B">
        <w:rPr>
          <w:rFonts w:ascii="Calibri" w:hAnsi="Calibri" w:cs="Calibri"/>
          <w:kern w:val="0"/>
          <w:sz w:val="22"/>
          <w:szCs w:val="22"/>
        </w:rPr>
        <w:t xml:space="preserve"> intimate partner domestic abuse</w:t>
      </w:r>
      <w:r w:rsidR="00324CF4" w:rsidRPr="00266E6B">
        <w:rPr>
          <w:rFonts w:ascii="Calibri" w:hAnsi="Calibri" w:cs="Calibri"/>
          <w:kern w:val="0"/>
          <w:sz w:val="22"/>
          <w:szCs w:val="22"/>
        </w:rPr>
        <w:t>.</w:t>
      </w:r>
      <w:r w:rsidR="00094F48" w:rsidRPr="00266E6B">
        <w:rPr>
          <w:rFonts w:ascii="Calibri" w:hAnsi="Calibri" w:cs="Calibri"/>
          <w:kern w:val="0"/>
          <w:sz w:val="22"/>
          <w:szCs w:val="22"/>
        </w:rPr>
        <w:t xml:space="preserve"> </w:t>
      </w:r>
      <w:r w:rsidR="00324CF4" w:rsidRPr="00266E6B">
        <w:rPr>
          <w:rFonts w:ascii="Calibri" w:hAnsi="Calibri" w:cs="Calibri"/>
          <w:kern w:val="0"/>
          <w:sz w:val="22"/>
          <w:szCs w:val="22"/>
        </w:rPr>
        <w:t>W</w:t>
      </w:r>
      <w:r w:rsidR="00094F48" w:rsidRPr="00266E6B">
        <w:rPr>
          <w:rFonts w:ascii="Calibri" w:hAnsi="Calibri" w:cs="Calibri"/>
          <w:kern w:val="0"/>
          <w:sz w:val="22"/>
          <w:szCs w:val="22"/>
        </w:rPr>
        <w:t xml:space="preserve">e </w:t>
      </w:r>
      <w:r w:rsidR="004C7DE0" w:rsidRPr="00266E6B">
        <w:rPr>
          <w:rFonts w:ascii="Calibri" w:hAnsi="Calibri" w:cs="Calibri"/>
          <w:kern w:val="0"/>
          <w:sz w:val="22"/>
          <w:szCs w:val="22"/>
        </w:rPr>
        <w:t xml:space="preserve">note </w:t>
      </w:r>
      <w:r w:rsidR="00767EDD" w:rsidRPr="00266E6B">
        <w:rPr>
          <w:rFonts w:ascii="Calibri" w:hAnsi="Calibri" w:cs="Calibri"/>
          <w:kern w:val="0"/>
          <w:sz w:val="22"/>
          <w:szCs w:val="22"/>
        </w:rPr>
        <w:t>the term has been picked up</w:t>
      </w:r>
      <w:r w:rsidR="007F7C73" w:rsidRPr="00266E6B">
        <w:rPr>
          <w:rFonts w:ascii="Calibri" w:hAnsi="Calibri" w:cs="Calibri"/>
          <w:kern w:val="0"/>
          <w:sz w:val="22"/>
          <w:szCs w:val="22"/>
        </w:rPr>
        <w:t xml:space="preserve"> by other researchers</w:t>
      </w:r>
      <w:r w:rsidR="00094F48" w:rsidRPr="00266E6B">
        <w:rPr>
          <w:rFonts w:ascii="Calibri" w:hAnsi="Calibri" w:cs="Calibri"/>
          <w:kern w:val="0"/>
          <w:sz w:val="22"/>
          <w:szCs w:val="22"/>
        </w:rPr>
        <w:t xml:space="preserve"> in this context</w:t>
      </w:r>
      <w:r w:rsidR="002B1799" w:rsidRPr="00266E6B">
        <w:rPr>
          <w:rFonts w:ascii="Calibri" w:hAnsi="Calibri" w:cs="Calibri"/>
          <w:kern w:val="0"/>
          <w:sz w:val="22"/>
          <w:szCs w:val="22"/>
        </w:rPr>
        <w:t>.</w:t>
      </w:r>
      <w:r w:rsidR="002B1799" w:rsidRPr="00266E6B">
        <w:rPr>
          <w:rStyle w:val="FootnoteReference"/>
          <w:rFonts w:ascii="Calibri" w:hAnsi="Calibri" w:cs="Calibri"/>
          <w:kern w:val="0"/>
          <w:sz w:val="22"/>
          <w:szCs w:val="22"/>
        </w:rPr>
        <w:footnoteReference w:id="9"/>
      </w:r>
    </w:p>
    <w:p w14:paraId="3E9131DC" w14:textId="77777777" w:rsidR="00281024" w:rsidRPr="00266E6B" w:rsidRDefault="00281024" w:rsidP="00281024">
      <w:pPr>
        <w:autoSpaceDE w:val="0"/>
        <w:autoSpaceDN w:val="0"/>
        <w:adjustRightInd w:val="0"/>
        <w:jc w:val="both"/>
        <w:rPr>
          <w:rFonts w:ascii="Calibri" w:hAnsi="Calibri" w:cs="Calibri"/>
          <w:kern w:val="0"/>
          <w:sz w:val="22"/>
          <w:szCs w:val="22"/>
          <w:highlight w:val="yellow"/>
        </w:rPr>
      </w:pPr>
    </w:p>
    <w:p w14:paraId="6B7DB205" w14:textId="77777777" w:rsidR="00071F33" w:rsidRPr="00266E6B" w:rsidRDefault="00071F33" w:rsidP="00071F33">
      <w:pPr>
        <w:autoSpaceDE w:val="0"/>
        <w:autoSpaceDN w:val="0"/>
        <w:adjustRightInd w:val="0"/>
        <w:jc w:val="both"/>
        <w:rPr>
          <w:rFonts w:ascii="Calibri" w:hAnsi="Calibri" w:cs="Calibri"/>
          <w:kern w:val="0"/>
          <w:sz w:val="22"/>
          <w:szCs w:val="22"/>
        </w:rPr>
      </w:pPr>
      <w:r w:rsidRPr="00266E6B">
        <w:rPr>
          <w:rFonts w:ascii="Calibri" w:hAnsi="Calibri" w:cs="Calibri"/>
          <w:kern w:val="0"/>
          <w:sz w:val="22"/>
          <w:szCs w:val="22"/>
        </w:rPr>
        <w:t>We consider that recognising children as adjoined victim/survivors of abuse is vital for several reasons. Researchers have identified that there is limited understanding amongst legal practitioners working in the Scottish civil justice system of the nature and characteristics of domestic abuse and how coercive control impacts children.</w:t>
      </w:r>
      <w:r w:rsidRPr="00266E6B">
        <w:rPr>
          <w:rStyle w:val="FootnoteReference"/>
          <w:rFonts w:ascii="Calibri" w:hAnsi="Calibri" w:cs="Calibri"/>
          <w:kern w:val="0"/>
          <w:sz w:val="22"/>
          <w:szCs w:val="22"/>
        </w:rPr>
        <w:footnoteReference w:id="10"/>
      </w:r>
      <w:r w:rsidRPr="00266E6B">
        <w:rPr>
          <w:rFonts w:ascii="Calibri" w:hAnsi="Calibri" w:cs="Calibri"/>
          <w:kern w:val="0"/>
          <w:sz w:val="22"/>
          <w:szCs w:val="22"/>
        </w:rPr>
        <w:t xml:space="preserve"> Concerningly, Burman and others recently found, “there remains a belief that domestic abuse against a parent does not necessarily have any impact on the child”,</w:t>
      </w:r>
      <w:r w:rsidRPr="00266E6B">
        <w:rPr>
          <w:rStyle w:val="FootnoteReference"/>
          <w:rFonts w:ascii="Calibri" w:hAnsi="Calibri" w:cs="Calibri"/>
          <w:kern w:val="0"/>
          <w:sz w:val="22"/>
          <w:szCs w:val="22"/>
        </w:rPr>
        <w:footnoteReference w:id="11"/>
      </w:r>
      <w:r w:rsidRPr="00266E6B">
        <w:rPr>
          <w:rFonts w:ascii="Calibri" w:hAnsi="Calibri" w:cs="Calibri"/>
          <w:kern w:val="0"/>
          <w:sz w:val="22"/>
          <w:szCs w:val="22"/>
        </w:rPr>
        <w:t xml:space="preserve"> suggesting that risks to children are being downplayed in Scotland.</w:t>
      </w:r>
      <w:r w:rsidRPr="00266E6B">
        <w:rPr>
          <w:rStyle w:val="FootnoteReference"/>
          <w:rFonts w:ascii="Calibri" w:hAnsi="Calibri" w:cs="Calibri"/>
          <w:kern w:val="0"/>
          <w:sz w:val="22"/>
          <w:szCs w:val="22"/>
        </w:rPr>
        <w:footnoteReference w:id="12"/>
      </w:r>
      <w:r w:rsidRPr="00266E6B">
        <w:rPr>
          <w:rFonts w:ascii="Calibri" w:hAnsi="Calibri" w:cs="Calibri"/>
          <w:kern w:val="0"/>
          <w:sz w:val="22"/>
          <w:szCs w:val="22"/>
        </w:rPr>
        <w:t xml:space="preserve">  Recognising children as adjoined victim/survivors in the civil law could lead to a cultural shift in how children’s experiences are viewed and responded to in law. It would validate children’s lived experience; and directly challenge traditional adult centric conceptualisations of domestic abuse in law and the resulting marginalisation of children’s experiences.</w:t>
      </w:r>
      <w:r w:rsidRPr="00266E6B">
        <w:rPr>
          <w:rStyle w:val="FootnoteReference"/>
          <w:rFonts w:ascii="Calibri" w:hAnsi="Calibri" w:cs="Calibri"/>
          <w:kern w:val="0"/>
          <w:sz w:val="22"/>
          <w:szCs w:val="22"/>
        </w:rPr>
        <w:footnoteReference w:id="13"/>
      </w:r>
      <w:r w:rsidRPr="00266E6B">
        <w:rPr>
          <w:rFonts w:ascii="Calibri" w:hAnsi="Calibri" w:cs="Calibri"/>
          <w:kern w:val="0"/>
          <w:sz w:val="22"/>
          <w:szCs w:val="22"/>
        </w:rPr>
        <w:t xml:space="preserve"> As we discuss in our answer to question 48, this marginalisation is particularly problematic in child contact cases. Recognising children as adjoined victims, and having concrete legal consequences flow from this, would also help to ensure Scots law is compatible with the UNCRC, for the reasons given in the SLC Discussion Paper. As the Discussion Paper also describes, state failure to act in relation to domestic abuse against a parent can breach a child’s human rights under the European Convention on Human Rights. We discuss human rights considerations to a fuller extent in our response to later questions.</w:t>
      </w:r>
    </w:p>
    <w:p w14:paraId="3C4754BF" w14:textId="77777777" w:rsidR="00374C11" w:rsidRPr="00266E6B" w:rsidRDefault="00374C11" w:rsidP="007B7090">
      <w:pPr>
        <w:autoSpaceDE w:val="0"/>
        <w:autoSpaceDN w:val="0"/>
        <w:adjustRightInd w:val="0"/>
        <w:jc w:val="both"/>
        <w:rPr>
          <w:rFonts w:ascii="Calibri" w:hAnsi="Calibri" w:cs="Calibri"/>
          <w:kern w:val="0"/>
          <w:sz w:val="22"/>
          <w:szCs w:val="22"/>
          <w:highlight w:val="yellow"/>
        </w:rPr>
      </w:pPr>
    </w:p>
    <w:p w14:paraId="048BFA77" w14:textId="4D51DF71" w:rsidR="00374C11" w:rsidRPr="00266E6B" w:rsidRDefault="00D01A3E" w:rsidP="00374C11">
      <w:pPr>
        <w:autoSpaceDE w:val="0"/>
        <w:autoSpaceDN w:val="0"/>
        <w:adjustRightInd w:val="0"/>
        <w:jc w:val="both"/>
        <w:rPr>
          <w:rFonts w:ascii="Calibri" w:hAnsi="Calibri" w:cs="Calibri"/>
          <w:kern w:val="0"/>
          <w:sz w:val="22"/>
          <w:szCs w:val="22"/>
        </w:rPr>
      </w:pPr>
      <w:r w:rsidRPr="00266E6B">
        <w:rPr>
          <w:rFonts w:ascii="Calibri" w:hAnsi="Calibri" w:cs="Calibri"/>
          <w:kern w:val="0"/>
          <w:sz w:val="22"/>
          <w:szCs w:val="22"/>
        </w:rPr>
        <w:t>The</w:t>
      </w:r>
      <w:r w:rsidR="00BB7729" w:rsidRPr="00266E6B">
        <w:rPr>
          <w:rFonts w:ascii="Calibri" w:hAnsi="Calibri" w:cs="Calibri"/>
          <w:kern w:val="0"/>
          <w:sz w:val="22"/>
          <w:szCs w:val="22"/>
        </w:rPr>
        <w:t xml:space="preserve"> D</w:t>
      </w:r>
      <w:r w:rsidR="00374C11" w:rsidRPr="00266E6B">
        <w:rPr>
          <w:rFonts w:ascii="Calibri" w:hAnsi="Calibri" w:cs="Calibri"/>
          <w:kern w:val="0"/>
          <w:sz w:val="22"/>
          <w:szCs w:val="22"/>
        </w:rPr>
        <w:t xml:space="preserve">iscussion </w:t>
      </w:r>
      <w:r w:rsidR="00BB7729" w:rsidRPr="00266E6B">
        <w:rPr>
          <w:rFonts w:ascii="Calibri" w:hAnsi="Calibri" w:cs="Calibri"/>
          <w:kern w:val="0"/>
          <w:sz w:val="22"/>
          <w:szCs w:val="22"/>
        </w:rPr>
        <w:t>P</w:t>
      </w:r>
      <w:r w:rsidR="00374C11" w:rsidRPr="00266E6B">
        <w:rPr>
          <w:rFonts w:ascii="Calibri" w:hAnsi="Calibri" w:cs="Calibri"/>
          <w:kern w:val="0"/>
          <w:sz w:val="22"/>
          <w:szCs w:val="22"/>
        </w:rPr>
        <w:t xml:space="preserve">aper </w:t>
      </w:r>
      <w:r w:rsidR="00C92E9B" w:rsidRPr="00266E6B">
        <w:rPr>
          <w:rFonts w:ascii="Calibri" w:hAnsi="Calibri" w:cs="Calibri"/>
          <w:kern w:val="0"/>
          <w:sz w:val="22"/>
          <w:szCs w:val="22"/>
        </w:rPr>
        <w:t>notes</w:t>
      </w:r>
      <w:r w:rsidR="00374C11" w:rsidRPr="00266E6B">
        <w:rPr>
          <w:rFonts w:ascii="Calibri" w:hAnsi="Calibri" w:cs="Calibri"/>
          <w:kern w:val="0"/>
          <w:sz w:val="22"/>
          <w:szCs w:val="22"/>
        </w:rPr>
        <w:t xml:space="preserve"> that the proposal</w:t>
      </w:r>
      <w:r w:rsidR="00733125" w:rsidRPr="00266E6B">
        <w:rPr>
          <w:rFonts w:ascii="Calibri" w:hAnsi="Calibri" w:cs="Calibri"/>
          <w:kern w:val="0"/>
          <w:sz w:val="22"/>
          <w:szCs w:val="22"/>
        </w:rPr>
        <w:t xml:space="preserve"> to treat children as ‘adjoined victims’</w:t>
      </w:r>
      <w:r w:rsidR="00374C11" w:rsidRPr="00266E6B">
        <w:rPr>
          <w:rFonts w:ascii="Calibri" w:hAnsi="Calibri" w:cs="Calibri"/>
          <w:kern w:val="0"/>
          <w:sz w:val="22"/>
          <w:szCs w:val="22"/>
        </w:rPr>
        <w:t xml:space="preserve"> would lead to a different approach in civil law to that in criminal law under the </w:t>
      </w:r>
      <w:r w:rsidR="00BB7729" w:rsidRPr="00266E6B">
        <w:rPr>
          <w:rFonts w:ascii="Calibri" w:hAnsi="Calibri" w:cs="Calibri"/>
          <w:kern w:val="0"/>
          <w:sz w:val="22"/>
          <w:szCs w:val="22"/>
        </w:rPr>
        <w:t xml:space="preserve">Domestic Abuse (Scotland) Act </w:t>
      </w:r>
      <w:r w:rsidR="00374C11" w:rsidRPr="00266E6B">
        <w:rPr>
          <w:rFonts w:ascii="Calibri" w:hAnsi="Calibri" w:cs="Calibri"/>
          <w:kern w:val="0"/>
          <w:sz w:val="22"/>
          <w:szCs w:val="22"/>
        </w:rPr>
        <w:t xml:space="preserve">2018 </w:t>
      </w:r>
      <w:r w:rsidR="00BB7729" w:rsidRPr="00266E6B">
        <w:rPr>
          <w:rFonts w:ascii="Calibri" w:hAnsi="Calibri" w:cs="Calibri"/>
          <w:kern w:val="0"/>
          <w:sz w:val="22"/>
          <w:szCs w:val="22"/>
        </w:rPr>
        <w:t>(known as DA(S)A)</w:t>
      </w:r>
      <w:r w:rsidR="00374C11" w:rsidRPr="00266E6B">
        <w:rPr>
          <w:rFonts w:ascii="Calibri" w:hAnsi="Calibri" w:cs="Calibri"/>
          <w:kern w:val="0"/>
          <w:sz w:val="22"/>
          <w:szCs w:val="22"/>
        </w:rPr>
        <w:t>.</w:t>
      </w:r>
      <w:r w:rsidR="00733125" w:rsidRPr="00266E6B">
        <w:rPr>
          <w:rFonts w:ascii="Calibri" w:hAnsi="Calibri" w:cs="Calibri"/>
          <w:kern w:val="0"/>
          <w:sz w:val="22"/>
          <w:szCs w:val="22"/>
        </w:rPr>
        <w:t xml:space="preserve"> The fact that there will be a difference in approach</w:t>
      </w:r>
      <w:r w:rsidR="001E1276" w:rsidRPr="00266E6B">
        <w:rPr>
          <w:rFonts w:ascii="Calibri" w:hAnsi="Calibri" w:cs="Calibri"/>
          <w:kern w:val="0"/>
          <w:sz w:val="22"/>
          <w:szCs w:val="22"/>
        </w:rPr>
        <w:t xml:space="preserve"> between the civil law and criminal law</w:t>
      </w:r>
      <w:r w:rsidR="00733125" w:rsidRPr="00266E6B">
        <w:rPr>
          <w:rFonts w:ascii="Calibri" w:hAnsi="Calibri" w:cs="Calibri"/>
          <w:kern w:val="0"/>
          <w:sz w:val="22"/>
          <w:szCs w:val="22"/>
        </w:rPr>
        <w:t xml:space="preserve"> should not</w:t>
      </w:r>
      <w:r w:rsidR="00865BC6" w:rsidRPr="00266E6B">
        <w:rPr>
          <w:rFonts w:ascii="Calibri" w:hAnsi="Calibri" w:cs="Calibri"/>
          <w:kern w:val="0"/>
          <w:sz w:val="22"/>
          <w:szCs w:val="22"/>
        </w:rPr>
        <w:t>, in our view,</w:t>
      </w:r>
      <w:r w:rsidR="00733125" w:rsidRPr="00266E6B">
        <w:rPr>
          <w:rFonts w:ascii="Calibri" w:hAnsi="Calibri" w:cs="Calibri"/>
          <w:kern w:val="0"/>
          <w:sz w:val="22"/>
          <w:szCs w:val="22"/>
        </w:rPr>
        <w:t xml:space="preserve"> be viewed as </w:t>
      </w:r>
      <w:r w:rsidR="00865BC6" w:rsidRPr="00266E6B">
        <w:rPr>
          <w:rFonts w:ascii="Calibri" w:hAnsi="Calibri" w:cs="Calibri"/>
          <w:kern w:val="0"/>
          <w:sz w:val="22"/>
          <w:szCs w:val="22"/>
        </w:rPr>
        <w:t xml:space="preserve">a </w:t>
      </w:r>
      <w:r w:rsidR="00733125" w:rsidRPr="00266E6B">
        <w:rPr>
          <w:rFonts w:ascii="Calibri" w:hAnsi="Calibri" w:cs="Calibri"/>
          <w:kern w:val="0"/>
          <w:sz w:val="22"/>
          <w:szCs w:val="22"/>
        </w:rPr>
        <w:t xml:space="preserve">negative. Indeed, during the passage of </w:t>
      </w:r>
      <w:r w:rsidR="001E1276" w:rsidRPr="00266E6B">
        <w:rPr>
          <w:rFonts w:ascii="Calibri" w:hAnsi="Calibri" w:cs="Calibri"/>
          <w:kern w:val="0"/>
          <w:sz w:val="22"/>
          <w:szCs w:val="22"/>
        </w:rPr>
        <w:t>Scotland’s landmark</w:t>
      </w:r>
      <w:r w:rsidR="00865BC6" w:rsidRPr="00266E6B">
        <w:rPr>
          <w:rFonts w:ascii="Calibri" w:hAnsi="Calibri" w:cs="Calibri"/>
          <w:kern w:val="0"/>
          <w:sz w:val="22"/>
          <w:szCs w:val="22"/>
        </w:rPr>
        <w:t xml:space="preserve"> criminal</w:t>
      </w:r>
      <w:r w:rsidR="001E1276" w:rsidRPr="00266E6B">
        <w:rPr>
          <w:rFonts w:ascii="Calibri" w:hAnsi="Calibri" w:cs="Calibri"/>
          <w:kern w:val="0"/>
          <w:sz w:val="22"/>
          <w:szCs w:val="22"/>
        </w:rPr>
        <w:t xml:space="preserve"> domestic abuse</w:t>
      </w:r>
      <w:r w:rsidR="00865BC6" w:rsidRPr="00266E6B">
        <w:rPr>
          <w:rFonts w:ascii="Calibri" w:hAnsi="Calibri" w:cs="Calibri"/>
          <w:kern w:val="0"/>
          <w:sz w:val="22"/>
          <w:szCs w:val="22"/>
        </w:rPr>
        <w:t xml:space="preserve"> </w:t>
      </w:r>
      <w:r w:rsidR="001E1276" w:rsidRPr="00266E6B">
        <w:rPr>
          <w:rFonts w:ascii="Calibri" w:hAnsi="Calibri" w:cs="Calibri"/>
          <w:kern w:val="0"/>
          <w:sz w:val="22"/>
          <w:szCs w:val="22"/>
        </w:rPr>
        <w:t>legislation (</w:t>
      </w:r>
      <w:r w:rsidR="000E5DEC" w:rsidRPr="00266E6B">
        <w:rPr>
          <w:rFonts w:ascii="Calibri" w:hAnsi="Calibri" w:cs="Calibri"/>
          <w:kern w:val="0"/>
          <w:sz w:val="22"/>
          <w:szCs w:val="22"/>
        </w:rPr>
        <w:t>DA(S)A</w:t>
      </w:r>
      <w:r w:rsidR="001E1276" w:rsidRPr="00266E6B">
        <w:rPr>
          <w:rFonts w:ascii="Calibri" w:hAnsi="Calibri" w:cs="Calibri"/>
          <w:kern w:val="0"/>
          <w:sz w:val="22"/>
          <w:szCs w:val="22"/>
        </w:rPr>
        <w:t>)</w:t>
      </w:r>
      <w:r w:rsidRPr="00266E6B">
        <w:rPr>
          <w:rFonts w:ascii="Calibri" w:hAnsi="Calibri" w:cs="Calibri"/>
          <w:kern w:val="0"/>
          <w:sz w:val="22"/>
          <w:szCs w:val="22"/>
        </w:rPr>
        <w:t>,</w:t>
      </w:r>
      <w:r w:rsidR="001E1276" w:rsidRPr="00266E6B">
        <w:rPr>
          <w:rFonts w:ascii="Calibri" w:hAnsi="Calibri" w:cs="Calibri"/>
          <w:kern w:val="0"/>
          <w:sz w:val="22"/>
          <w:szCs w:val="22"/>
        </w:rPr>
        <w:t xml:space="preserve"> </w:t>
      </w:r>
      <w:r w:rsidR="00C92E9B" w:rsidRPr="00266E6B">
        <w:rPr>
          <w:rFonts w:ascii="Calibri" w:hAnsi="Calibri" w:cs="Calibri"/>
          <w:kern w:val="0"/>
          <w:sz w:val="22"/>
          <w:szCs w:val="22"/>
        </w:rPr>
        <w:t xml:space="preserve">the failure to recognise children as victims was a key issue amongst stakeholders. Indeed, those </w:t>
      </w:r>
      <w:r w:rsidR="00890FF9" w:rsidRPr="00266E6B">
        <w:rPr>
          <w:rFonts w:ascii="Calibri" w:hAnsi="Calibri" w:cs="Calibri"/>
          <w:kern w:val="0"/>
          <w:sz w:val="22"/>
          <w:szCs w:val="22"/>
        </w:rPr>
        <w:t xml:space="preserve">with knowledge and understanding of how children experience domestic abuse </w:t>
      </w:r>
      <w:r w:rsidR="00C92E9B" w:rsidRPr="00266E6B">
        <w:rPr>
          <w:rFonts w:ascii="Calibri" w:hAnsi="Calibri" w:cs="Calibri"/>
          <w:kern w:val="0"/>
          <w:sz w:val="22"/>
          <w:szCs w:val="22"/>
        </w:rPr>
        <w:t>were clear</w:t>
      </w:r>
      <w:r w:rsidR="00890FF9" w:rsidRPr="00266E6B">
        <w:rPr>
          <w:rFonts w:ascii="Calibri" w:hAnsi="Calibri" w:cs="Calibri"/>
          <w:kern w:val="0"/>
          <w:sz w:val="22"/>
          <w:szCs w:val="22"/>
        </w:rPr>
        <w:t xml:space="preserve"> that </w:t>
      </w:r>
      <w:r w:rsidR="00C92E9B" w:rsidRPr="00266E6B">
        <w:rPr>
          <w:rFonts w:ascii="Calibri" w:hAnsi="Calibri" w:cs="Calibri"/>
          <w:kern w:val="0"/>
          <w:sz w:val="22"/>
          <w:szCs w:val="22"/>
        </w:rPr>
        <w:t>children</w:t>
      </w:r>
      <w:r w:rsidR="00890FF9" w:rsidRPr="00266E6B">
        <w:rPr>
          <w:rFonts w:ascii="Calibri" w:hAnsi="Calibri" w:cs="Calibri"/>
          <w:kern w:val="0"/>
          <w:sz w:val="22"/>
          <w:szCs w:val="22"/>
        </w:rPr>
        <w:t xml:space="preserve"> should be recognised as victims of intimate partner domestic abuse.</w:t>
      </w:r>
      <w:r w:rsidR="000E5DEC" w:rsidRPr="00266E6B">
        <w:rPr>
          <w:rStyle w:val="FootnoteReference"/>
          <w:rFonts w:ascii="Calibri" w:hAnsi="Calibri" w:cs="Calibri"/>
          <w:kern w:val="0"/>
          <w:sz w:val="22"/>
          <w:szCs w:val="22"/>
        </w:rPr>
        <w:t xml:space="preserve"> </w:t>
      </w:r>
      <w:r w:rsidR="000E5DEC" w:rsidRPr="00266E6B">
        <w:rPr>
          <w:rStyle w:val="FootnoteReference"/>
          <w:rFonts w:ascii="Calibri" w:hAnsi="Calibri" w:cs="Calibri"/>
          <w:kern w:val="0"/>
          <w:sz w:val="22"/>
          <w:szCs w:val="22"/>
        </w:rPr>
        <w:footnoteReference w:id="14"/>
      </w:r>
      <w:r w:rsidR="00890FF9" w:rsidRPr="00266E6B">
        <w:rPr>
          <w:rFonts w:ascii="Calibri" w:hAnsi="Calibri" w:cs="Calibri"/>
          <w:kern w:val="0"/>
          <w:sz w:val="22"/>
          <w:szCs w:val="22"/>
        </w:rPr>
        <w:t xml:space="preserve"> </w:t>
      </w:r>
      <w:r w:rsidR="00D74CA7" w:rsidRPr="00266E6B">
        <w:rPr>
          <w:rFonts w:ascii="Calibri" w:hAnsi="Calibri" w:cs="Calibri"/>
          <w:kern w:val="0"/>
          <w:sz w:val="22"/>
          <w:szCs w:val="22"/>
        </w:rPr>
        <w:t>Houghton and other’s r</w:t>
      </w:r>
      <w:r w:rsidR="00733125" w:rsidRPr="00266E6B">
        <w:rPr>
          <w:rFonts w:ascii="Calibri" w:hAnsi="Calibri" w:cs="Calibri"/>
          <w:kern w:val="0"/>
          <w:sz w:val="22"/>
          <w:szCs w:val="22"/>
        </w:rPr>
        <w:t xml:space="preserve">esearch conducted with victim/survivors into their experiences of court since the introduction of </w:t>
      </w:r>
      <w:r w:rsidR="000E5DEC" w:rsidRPr="00266E6B">
        <w:rPr>
          <w:rFonts w:ascii="Calibri" w:hAnsi="Calibri" w:cs="Calibri"/>
          <w:kern w:val="0"/>
          <w:sz w:val="22"/>
          <w:szCs w:val="22"/>
        </w:rPr>
        <w:t>DA(S)A</w:t>
      </w:r>
      <w:r w:rsidR="00733125" w:rsidRPr="00266E6B">
        <w:rPr>
          <w:rFonts w:ascii="Calibri" w:hAnsi="Calibri" w:cs="Calibri"/>
          <w:kern w:val="0"/>
          <w:sz w:val="22"/>
          <w:szCs w:val="22"/>
        </w:rPr>
        <w:t xml:space="preserve"> </w:t>
      </w:r>
      <w:r w:rsidR="000C2A6C" w:rsidRPr="00266E6B">
        <w:rPr>
          <w:rFonts w:ascii="Calibri" w:hAnsi="Calibri" w:cs="Calibri"/>
          <w:kern w:val="0"/>
          <w:sz w:val="22"/>
          <w:szCs w:val="22"/>
        </w:rPr>
        <w:t xml:space="preserve">has </w:t>
      </w:r>
      <w:r w:rsidR="00733125" w:rsidRPr="00266E6B">
        <w:rPr>
          <w:rFonts w:ascii="Calibri" w:hAnsi="Calibri" w:cs="Calibri"/>
          <w:kern w:val="0"/>
          <w:sz w:val="22"/>
          <w:szCs w:val="22"/>
        </w:rPr>
        <w:t>found that child and adult participants</w:t>
      </w:r>
      <w:r w:rsidR="007540EB" w:rsidRPr="00266E6B">
        <w:rPr>
          <w:rFonts w:ascii="Calibri" w:hAnsi="Calibri" w:cs="Calibri"/>
          <w:kern w:val="0"/>
          <w:sz w:val="22"/>
          <w:szCs w:val="22"/>
        </w:rPr>
        <w:t xml:space="preserve"> still</w:t>
      </w:r>
      <w:r w:rsidR="00733125" w:rsidRPr="00266E6B">
        <w:rPr>
          <w:rFonts w:ascii="Calibri" w:hAnsi="Calibri" w:cs="Calibri"/>
          <w:kern w:val="0"/>
          <w:sz w:val="22"/>
          <w:szCs w:val="22"/>
        </w:rPr>
        <w:t xml:space="preserve"> </w:t>
      </w:r>
      <w:r w:rsidR="00733125" w:rsidRPr="00266E6B">
        <w:rPr>
          <w:rFonts w:ascii="Calibri" w:hAnsi="Calibri" w:cs="Calibri"/>
          <w:kern w:val="0"/>
          <w:sz w:val="22"/>
          <w:szCs w:val="22"/>
        </w:rPr>
        <w:lastRenderedPageBreak/>
        <w:t>“felt that the perpetrator was not held sufficiently accountable for harm to children nor was it adequately recognised that they experienced abuse together”.</w:t>
      </w:r>
      <w:r w:rsidR="00733125" w:rsidRPr="00266E6B">
        <w:rPr>
          <w:rStyle w:val="FootnoteReference"/>
          <w:rFonts w:ascii="Calibri" w:hAnsi="Calibri" w:cs="Calibri"/>
          <w:kern w:val="0"/>
          <w:sz w:val="22"/>
          <w:szCs w:val="22"/>
        </w:rPr>
        <w:footnoteReference w:id="15"/>
      </w:r>
      <w:r w:rsidR="00733125" w:rsidRPr="00266E6B">
        <w:rPr>
          <w:rFonts w:ascii="Calibri" w:hAnsi="Calibri" w:cs="Calibri"/>
          <w:kern w:val="0"/>
          <w:sz w:val="22"/>
          <w:szCs w:val="22"/>
        </w:rPr>
        <w:t xml:space="preserve"> </w:t>
      </w:r>
      <w:r w:rsidR="00890FF9" w:rsidRPr="00266E6B">
        <w:rPr>
          <w:rFonts w:ascii="Calibri" w:hAnsi="Calibri" w:cs="Calibri"/>
          <w:kern w:val="0"/>
          <w:sz w:val="22"/>
          <w:szCs w:val="22"/>
        </w:rPr>
        <w:t xml:space="preserve">We note too that </w:t>
      </w:r>
      <w:r w:rsidR="000E5DEC" w:rsidRPr="00266E6B">
        <w:rPr>
          <w:rFonts w:ascii="Calibri" w:hAnsi="Calibri" w:cs="Calibri"/>
          <w:kern w:val="0"/>
          <w:sz w:val="22"/>
          <w:szCs w:val="22"/>
        </w:rPr>
        <w:t>DA(S)A</w:t>
      </w:r>
      <w:r w:rsidR="007561A9" w:rsidRPr="00266E6B">
        <w:rPr>
          <w:rFonts w:ascii="Calibri" w:hAnsi="Calibri" w:cs="Calibri"/>
          <w:kern w:val="0"/>
          <w:sz w:val="22"/>
          <w:szCs w:val="22"/>
        </w:rPr>
        <w:t xml:space="preserve"> </w:t>
      </w:r>
      <w:r w:rsidR="00890FF9" w:rsidRPr="00266E6B">
        <w:rPr>
          <w:rFonts w:ascii="Calibri" w:hAnsi="Calibri" w:cs="Calibri"/>
          <w:kern w:val="0"/>
          <w:sz w:val="22"/>
          <w:szCs w:val="22"/>
        </w:rPr>
        <w:t>c</w:t>
      </w:r>
      <w:r w:rsidR="007561A9" w:rsidRPr="00266E6B">
        <w:rPr>
          <w:rFonts w:ascii="Calibri" w:hAnsi="Calibri" w:cs="Calibri"/>
          <w:kern w:val="0"/>
          <w:sz w:val="22"/>
          <w:szCs w:val="22"/>
        </w:rPr>
        <w:t xml:space="preserve">ame before the incorporation of the UNCRC. </w:t>
      </w:r>
      <w:r w:rsidR="00733125" w:rsidRPr="00266E6B">
        <w:rPr>
          <w:rFonts w:ascii="Calibri" w:hAnsi="Calibri" w:cs="Calibri"/>
          <w:kern w:val="0"/>
          <w:sz w:val="22"/>
          <w:szCs w:val="22"/>
        </w:rPr>
        <w:t>Therefore</w:t>
      </w:r>
      <w:r w:rsidR="007561A9" w:rsidRPr="00266E6B">
        <w:rPr>
          <w:rFonts w:ascii="Calibri" w:hAnsi="Calibri" w:cs="Calibri"/>
          <w:kern w:val="0"/>
          <w:sz w:val="22"/>
          <w:szCs w:val="22"/>
        </w:rPr>
        <w:t>,</w:t>
      </w:r>
      <w:r w:rsidR="00733125" w:rsidRPr="00266E6B">
        <w:rPr>
          <w:rFonts w:ascii="Calibri" w:hAnsi="Calibri" w:cs="Calibri"/>
          <w:kern w:val="0"/>
          <w:sz w:val="22"/>
          <w:szCs w:val="22"/>
        </w:rPr>
        <w:t xml:space="preserve"> there is an important opportunity to take a different approach in the civil law</w:t>
      </w:r>
      <w:r w:rsidR="000C2A6C" w:rsidRPr="00266E6B">
        <w:rPr>
          <w:rFonts w:ascii="Calibri" w:hAnsi="Calibri" w:cs="Calibri"/>
          <w:kern w:val="0"/>
          <w:sz w:val="22"/>
          <w:szCs w:val="22"/>
        </w:rPr>
        <w:t xml:space="preserve"> which does </w:t>
      </w:r>
      <w:r w:rsidR="00733125" w:rsidRPr="00266E6B">
        <w:rPr>
          <w:rFonts w:ascii="Calibri" w:hAnsi="Calibri" w:cs="Calibri"/>
          <w:kern w:val="0"/>
          <w:sz w:val="22"/>
          <w:szCs w:val="22"/>
        </w:rPr>
        <w:t>more for children.</w:t>
      </w:r>
      <w:r w:rsidR="007561A9" w:rsidRPr="00266E6B">
        <w:rPr>
          <w:rFonts w:ascii="Calibri" w:hAnsi="Calibri" w:cs="Calibri"/>
          <w:kern w:val="0"/>
          <w:sz w:val="22"/>
          <w:szCs w:val="22"/>
        </w:rPr>
        <w:t xml:space="preserve"> Recognising children as adjoined victims in the civil law, and ensuring legal protection flows from that status, is crucial. This would not only improve the civil law response to domestic abuse but also </w:t>
      </w:r>
      <w:r w:rsidR="00374C11" w:rsidRPr="00266E6B">
        <w:rPr>
          <w:rFonts w:ascii="Calibri" w:hAnsi="Calibri" w:cs="Calibri"/>
          <w:kern w:val="0"/>
          <w:sz w:val="22"/>
          <w:szCs w:val="22"/>
        </w:rPr>
        <w:t>strengthen the argument for that recognition in the criminal law</w:t>
      </w:r>
      <w:r w:rsidR="00CF418C" w:rsidRPr="00266E6B">
        <w:rPr>
          <w:rFonts w:ascii="Calibri" w:hAnsi="Calibri" w:cs="Calibri"/>
          <w:kern w:val="0"/>
          <w:sz w:val="22"/>
          <w:szCs w:val="22"/>
        </w:rPr>
        <w:t xml:space="preserve">. We continue to advocate for </w:t>
      </w:r>
      <w:r w:rsidR="00F64C1D" w:rsidRPr="00266E6B">
        <w:rPr>
          <w:rFonts w:ascii="Calibri" w:hAnsi="Calibri" w:cs="Calibri"/>
          <w:kern w:val="0"/>
          <w:sz w:val="22"/>
          <w:szCs w:val="22"/>
        </w:rPr>
        <w:t xml:space="preserve">the introduction of </w:t>
      </w:r>
      <w:r w:rsidR="00374C11" w:rsidRPr="00266E6B">
        <w:rPr>
          <w:rFonts w:ascii="Calibri" w:hAnsi="Calibri" w:cs="Calibri"/>
          <w:kern w:val="0"/>
          <w:sz w:val="22"/>
          <w:szCs w:val="22"/>
        </w:rPr>
        <w:t xml:space="preserve">a parallel offence </w:t>
      </w:r>
      <w:r w:rsidRPr="00266E6B">
        <w:rPr>
          <w:rFonts w:ascii="Calibri" w:hAnsi="Calibri" w:cs="Calibri"/>
          <w:kern w:val="0"/>
          <w:sz w:val="22"/>
          <w:szCs w:val="22"/>
        </w:rPr>
        <w:t xml:space="preserve">of ‘abusive behaviour towards partner or ex-partner and adjoined child’ </w:t>
      </w:r>
      <w:r w:rsidR="00374C11" w:rsidRPr="00266E6B">
        <w:rPr>
          <w:rFonts w:ascii="Calibri" w:hAnsi="Calibri" w:cs="Calibri"/>
          <w:kern w:val="0"/>
          <w:sz w:val="22"/>
          <w:szCs w:val="22"/>
        </w:rPr>
        <w:t>in</w:t>
      </w:r>
      <w:r w:rsidR="00F64C1D" w:rsidRPr="00266E6B">
        <w:rPr>
          <w:rFonts w:ascii="Calibri" w:hAnsi="Calibri" w:cs="Calibri"/>
          <w:kern w:val="0"/>
          <w:sz w:val="22"/>
          <w:szCs w:val="22"/>
        </w:rPr>
        <w:t>to</w:t>
      </w:r>
      <w:r w:rsidR="00374C11" w:rsidRPr="00266E6B">
        <w:rPr>
          <w:rFonts w:ascii="Calibri" w:hAnsi="Calibri" w:cs="Calibri"/>
          <w:kern w:val="0"/>
          <w:sz w:val="22"/>
          <w:szCs w:val="22"/>
        </w:rPr>
        <w:t xml:space="preserve"> </w:t>
      </w:r>
      <w:r w:rsidR="000E5DEC" w:rsidRPr="00266E6B">
        <w:rPr>
          <w:rFonts w:ascii="Calibri" w:hAnsi="Calibri" w:cs="Calibri"/>
          <w:kern w:val="0"/>
          <w:sz w:val="22"/>
          <w:szCs w:val="22"/>
        </w:rPr>
        <w:t xml:space="preserve">DA(S)A </w:t>
      </w:r>
      <w:r w:rsidR="00374C11" w:rsidRPr="00266E6B">
        <w:rPr>
          <w:rFonts w:ascii="Calibri" w:hAnsi="Calibri" w:cs="Calibri"/>
          <w:kern w:val="0"/>
          <w:sz w:val="22"/>
          <w:szCs w:val="22"/>
        </w:rPr>
        <w:t>as we proposed in our 2022 article.</w:t>
      </w:r>
      <w:r w:rsidRPr="00266E6B">
        <w:rPr>
          <w:rStyle w:val="FootnoteReference"/>
          <w:rFonts w:ascii="Calibri" w:hAnsi="Calibri" w:cs="Calibri"/>
          <w:kern w:val="0"/>
          <w:sz w:val="22"/>
          <w:szCs w:val="22"/>
        </w:rPr>
        <w:t xml:space="preserve"> </w:t>
      </w:r>
      <w:r w:rsidRPr="00266E6B">
        <w:rPr>
          <w:rStyle w:val="FootnoteReference"/>
          <w:rFonts w:ascii="Calibri" w:hAnsi="Calibri" w:cs="Calibri"/>
          <w:kern w:val="0"/>
          <w:sz w:val="22"/>
          <w:szCs w:val="22"/>
        </w:rPr>
        <w:footnoteReference w:id="16"/>
      </w:r>
    </w:p>
    <w:p w14:paraId="58274140" w14:textId="77777777" w:rsidR="006D6872" w:rsidRPr="00266E6B" w:rsidRDefault="006D6872" w:rsidP="00F616C4">
      <w:pPr>
        <w:autoSpaceDE w:val="0"/>
        <w:autoSpaceDN w:val="0"/>
        <w:adjustRightInd w:val="0"/>
        <w:rPr>
          <w:rFonts w:ascii="Calibri" w:hAnsi="Calibri" w:cs="Calibri"/>
          <w:kern w:val="0"/>
          <w:sz w:val="22"/>
          <w:szCs w:val="22"/>
        </w:rPr>
      </w:pPr>
    </w:p>
    <w:p w14:paraId="4E8317E6" w14:textId="77777777" w:rsidR="00F616C4" w:rsidRPr="00266E6B" w:rsidRDefault="00F616C4" w:rsidP="00F616C4">
      <w:pPr>
        <w:autoSpaceDE w:val="0"/>
        <w:autoSpaceDN w:val="0"/>
        <w:adjustRightInd w:val="0"/>
        <w:rPr>
          <w:rFonts w:ascii="Calibri" w:hAnsi="Calibri" w:cs="Calibri"/>
          <w:b/>
          <w:bCs/>
          <w:i/>
          <w:iCs/>
          <w:kern w:val="0"/>
          <w:sz w:val="22"/>
          <w:szCs w:val="22"/>
          <w:u w:val="single"/>
        </w:rPr>
      </w:pPr>
    </w:p>
    <w:p w14:paraId="38D34987" w14:textId="77777777" w:rsidR="00266E6B" w:rsidRPr="00266E6B" w:rsidRDefault="00F616C4" w:rsidP="00F616C4">
      <w:pPr>
        <w:autoSpaceDE w:val="0"/>
        <w:autoSpaceDN w:val="0"/>
        <w:adjustRightInd w:val="0"/>
        <w:rPr>
          <w:rFonts w:ascii="Calibri" w:hAnsi="Calibri" w:cs="Calibri"/>
          <w:b/>
          <w:bCs/>
          <w:i/>
          <w:iCs/>
          <w:kern w:val="0"/>
          <w:sz w:val="22"/>
          <w:szCs w:val="22"/>
        </w:rPr>
      </w:pPr>
      <w:r w:rsidRPr="00266E6B">
        <w:rPr>
          <w:rFonts w:ascii="Calibri" w:hAnsi="Calibri" w:cs="Calibri"/>
          <w:b/>
          <w:bCs/>
          <w:i/>
          <w:iCs/>
          <w:kern w:val="0"/>
          <w:sz w:val="22"/>
          <w:szCs w:val="22"/>
        </w:rPr>
        <w:t>47. Should a civil protection order be available for a child who is an adjoined</w:t>
      </w:r>
      <w:r w:rsidR="008F3892" w:rsidRPr="00266E6B">
        <w:rPr>
          <w:rFonts w:ascii="Calibri" w:hAnsi="Calibri" w:cs="Calibri"/>
          <w:b/>
          <w:bCs/>
          <w:i/>
          <w:iCs/>
          <w:kern w:val="0"/>
          <w:sz w:val="22"/>
          <w:szCs w:val="22"/>
        </w:rPr>
        <w:t xml:space="preserve"> </w:t>
      </w:r>
      <w:r w:rsidRPr="00266E6B">
        <w:rPr>
          <w:rFonts w:ascii="Calibri" w:hAnsi="Calibri" w:cs="Calibri"/>
          <w:b/>
          <w:bCs/>
          <w:i/>
          <w:iCs/>
          <w:kern w:val="0"/>
          <w:sz w:val="22"/>
          <w:szCs w:val="22"/>
        </w:rPr>
        <w:t>victim/survivor:</w:t>
      </w:r>
    </w:p>
    <w:p w14:paraId="71FF98BE" w14:textId="77777777" w:rsidR="00266E6B" w:rsidRPr="00266E6B" w:rsidRDefault="00266E6B" w:rsidP="00F616C4">
      <w:pPr>
        <w:autoSpaceDE w:val="0"/>
        <w:autoSpaceDN w:val="0"/>
        <w:adjustRightInd w:val="0"/>
        <w:rPr>
          <w:rFonts w:ascii="Calibri" w:hAnsi="Calibri" w:cs="Calibri"/>
          <w:b/>
          <w:bCs/>
          <w:i/>
          <w:iCs/>
          <w:kern w:val="0"/>
          <w:sz w:val="22"/>
          <w:szCs w:val="22"/>
        </w:rPr>
      </w:pPr>
    </w:p>
    <w:p w14:paraId="6E59ECFA" w14:textId="264827B6" w:rsidR="00F616C4" w:rsidRPr="00266E6B" w:rsidRDefault="00F616C4" w:rsidP="00266E6B">
      <w:pPr>
        <w:pStyle w:val="ListParagraph"/>
        <w:numPr>
          <w:ilvl w:val="0"/>
          <w:numId w:val="13"/>
        </w:numPr>
        <w:autoSpaceDE w:val="0"/>
        <w:autoSpaceDN w:val="0"/>
        <w:adjustRightInd w:val="0"/>
        <w:rPr>
          <w:rFonts w:ascii="Calibri" w:hAnsi="Calibri" w:cs="Calibri"/>
          <w:b/>
          <w:bCs/>
          <w:i/>
          <w:iCs/>
          <w:kern w:val="0"/>
          <w:sz w:val="22"/>
          <w:szCs w:val="22"/>
        </w:rPr>
      </w:pPr>
      <w:r w:rsidRPr="00266E6B">
        <w:rPr>
          <w:rFonts w:ascii="Calibri" w:hAnsi="Calibri" w:cs="Calibri"/>
          <w:b/>
          <w:bCs/>
          <w:i/>
          <w:iCs/>
          <w:kern w:val="0"/>
          <w:sz w:val="22"/>
          <w:szCs w:val="22"/>
        </w:rPr>
        <w:t>As part of a civil protection order/DACPRO sought by the</w:t>
      </w:r>
      <w:r w:rsidR="00A4737C" w:rsidRPr="00266E6B">
        <w:rPr>
          <w:rFonts w:ascii="Calibri" w:hAnsi="Calibri" w:cs="Calibri"/>
          <w:b/>
          <w:bCs/>
          <w:i/>
          <w:iCs/>
          <w:kern w:val="0"/>
          <w:sz w:val="22"/>
          <w:szCs w:val="22"/>
        </w:rPr>
        <w:t xml:space="preserve"> </w:t>
      </w:r>
      <w:r w:rsidRPr="00266E6B">
        <w:rPr>
          <w:rFonts w:ascii="Calibri" w:hAnsi="Calibri" w:cs="Calibri"/>
          <w:b/>
          <w:bCs/>
          <w:i/>
          <w:iCs/>
          <w:kern w:val="0"/>
          <w:sz w:val="22"/>
          <w:szCs w:val="22"/>
        </w:rPr>
        <w:t>victim/survivor</w:t>
      </w:r>
    </w:p>
    <w:p w14:paraId="0AE52623" w14:textId="77777777" w:rsidR="00F616C4" w:rsidRPr="00266E6B" w:rsidRDefault="00F616C4" w:rsidP="00F616C4">
      <w:pPr>
        <w:autoSpaceDE w:val="0"/>
        <w:autoSpaceDN w:val="0"/>
        <w:adjustRightInd w:val="0"/>
        <w:rPr>
          <w:rFonts w:ascii="Calibri" w:hAnsi="Calibri" w:cs="Calibri"/>
          <w:b/>
          <w:bCs/>
          <w:i/>
          <w:iCs/>
          <w:kern w:val="0"/>
          <w:sz w:val="22"/>
          <w:szCs w:val="22"/>
          <w:u w:val="single"/>
        </w:rPr>
      </w:pPr>
    </w:p>
    <w:p w14:paraId="2A20D0BA" w14:textId="70BFFECB" w:rsidR="00E5749A" w:rsidRPr="00266E6B" w:rsidRDefault="00745C8E" w:rsidP="0081620B">
      <w:pPr>
        <w:autoSpaceDE w:val="0"/>
        <w:autoSpaceDN w:val="0"/>
        <w:adjustRightInd w:val="0"/>
        <w:jc w:val="both"/>
        <w:rPr>
          <w:rFonts w:ascii="Calibri" w:hAnsi="Calibri" w:cs="Calibri"/>
          <w:kern w:val="0"/>
          <w:sz w:val="22"/>
          <w:szCs w:val="22"/>
        </w:rPr>
      </w:pPr>
      <w:r w:rsidRPr="00266E6B">
        <w:rPr>
          <w:rFonts w:ascii="Calibri" w:hAnsi="Calibri" w:cs="Calibri"/>
          <w:kern w:val="0"/>
          <w:sz w:val="22"/>
          <w:szCs w:val="22"/>
        </w:rPr>
        <w:t>Yes</w:t>
      </w:r>
      <w:r w:rsidR="00B27082" w:rsidRPr="00266E6B">
        <w:rPr>
          <w:rFonts w:ascii="Calibri" w:hAnsi="Calibri" w:cs="Calibri"/>
          <w:kern w:val="0"/>
          <w:sz w:val="22"/>
          <w:szCs w:val="22"/>
        </w:rPr>
        <w:t>, we consider a civil protection order should be available for a child who is an adjoined</w:t>
      </w:r>
      <w:r w:rsidR="002C114A" w:rsidRPr="00266E6B">
        <w:rPr>
          <w:rFonts w:ascii="Calibri" w:hAnsi="Calibri" w:cs="Calibri"/>
          <w:kern w:val="0"/>
          <w:sz w:val="22"/>
          <w:szCs w:val="22"/>
        </w:rPr>
        <w:t xml:space="preserve"> </w:t>
      </w:r>
      <w:r w:rsidR="00B27082" w:rsidRPr="00266E6B">
        <w:rPr>
          <w:rFonts w:ascii="Calibri" w:hAnsi="Calibri" w:cs="Calibri"/>
          <w:kern w:val="0"/>
          <w:sz w:val="22"/>
          <w:szCs w:val="22"/>
        </w:rPr>
        <w:t>victim/survivor as part of a civil protection order/DACPRO sought by the adult victim/survivor.</w:t>
      </w:r>
      <w:r w:rsidR="0019022D" w:rsidRPr="00266E6B">
        <w:rPr>
          <w:rFonts w:ascii="Calibri" w:hAnsi="Calibri" w:cs="Calibri"/>
          <w:kern w:val="0"/>
          <w:sz w:val="22"/>
          <w:szCs w:val="22"/>
        </w:rPr>
        <w:t xml:space="preserve"> </w:t>
      </w:r>
      <w:r w:rsidR="007F7C73" w:rsidRPr="00266E6B">
        <w:rPr>
          <w:rFonts w:ascii="Calibri" w:hAnsi="Calibri" w:cs="Calibri"/>
          <w:kern w:val="0"/>
          <w:sz w:val="22"/>
          <w:szCs w:val="22"/>
        </w:rPr>
        <w:t xml:space="preserve">While recognising children as adjoined victims has significant symbolic value, it is essential that </w:t>
      </w:r>
      <w:r w:rsidR="0081620B" w:rsidRPr="00266E6B">
        <w:rPr>
          <w:rFonts w:ascii="Calibri" w:hAnsi="Calibri" w:cs="Calibri"/>
          <w:kern w:val="0"/>
          <w:sz w:val="22"/>
          <w:szCs w:val="22"/>
        </w:rPr>
        <w:t xml:space="preserve">this legislative recognition comes with </w:t>
      </w:r>
      <w:r w:rsidR="00E5749A" w:rsidRPr="00266E6B">
        <w:rPr>
          <w:rFonts w:ascii="Calibri" w:hAnsi="Calibri" w:cs="Calibri"/>
          <w:sz w:val="22"/>
          <w:szCs w:val="22"/>
        </w:rPr>
        <w:t>meaningful legal consequences</w:t>
      </w:r>
      <w:r w:rsidR="0081620B" w:rsidRPr="00266E6B">
        <w:rPr>
          <w:rFonts w:ascii="Calibri" w:hAnsi="Calibri" w:cs="Calibri"/>
          <w:sz w:val="22"/>
          <w:szCs w:val="22"/>
        </w:rPr>
        <w:t xml:space="preserve"> and protections. </w:t>
      </w:r>
      <w:r w:rsidR="00EA2554" w:rsidRPr="00266E6B">
        <w:rPr>
          <w:rFonts w:ascii="Calibri" w:hAnsi="Calibri" w:cs="Calibri"/>
          <w:kern w:val="0"/>
          <w:sz w:val="22"/>
          <w:szCs w:val="22"/>
        </w:rPr>
        <w:t>The inclusion of children within the scope of the order is also in line with the criminal law approach where children can be covered by a Non-Harassment Order following a conviction for domestic abuse.</w:t>
      </w:r>
    </w:p>
    <w:p w14:paraId="44B3CE5F" w14:textId="77777777" w:rsidR="00F5309C" w:rsidRPr="00266E6B" w:rsidRDefault="00F5309C" w:rsidP="00F5309C">
      <w:pPr>
        <w:autoSpaceDE w:val="0"/>
        <w:autoSpaceDN w:val="0"/>
        <w:adjustRightInd w:val="0"/>
        <w:jc w:val="both"/>
        <w:rPr>
          <w:rFonts w:ascii="Calibri" w:hAnsi="Calibri" w:cs="Calibri"/>
          <w:kern w:val="0"/>
          <w:sz w:val="22"/>
          <w:szCs w:val="22"/>
        </w:rPr>
      </w:pPr>
    </w:p>
    <w:p w14:paraId="2BB0A18B" w14:textId="1B95550C" w:rsidR="0019022D" w:rsidRPr="00266E6B" w:rsidRDefault="0019022D" w:rsidP="0019022D">
      <w:pPr>
        <w:autoSpaceDE w:val="0"/>
        <w:autoSpaceDN w:val="0"/>
        <w:adjustRightInd w:val="0"/>
        <w:jc w:val="both"/>
        <w:rPr>
          <w:rFonts w:ascii="Calibri" w:hAnsi="Calibri" w:cs="Calibri"/>
          <w:kern w:val="0"/>
          <w:sz w:val="22"/>
          <w:szCs w:val="22"/>
        </w:rPr>
      </w:pPr>
      <w:r w:rsidRPr="00266E6B">
        <w:rPr>
          <w:rFonts w:ascii="Calibri" w:hAnsi="Calibri" w:cs="Calibri"/>
          <w:kern w:val="0"/>
          <w:sz w:val="22"/>
          <w:szCs w:val="22"/>
        </w:rPr>
        <w:t>Domestic abuse is a highly gendered crime. This understanding underpins Scottish policy, and the Scots criminal law approach.</w:t>
      </w:r>
      <w:r w:rsidRPr="00266E6B">
        <w:rPr>
          <w:rStyle w:val="FootnoteReference"/>
          <w:rFonts w:ascii="Calibri" w:hAnsi="Calibri" w:cs="Calibri"/>
          <w:kern w:val="0"/>
          <w:sz w:val="22"/>
          <w:szCs w:val="22"/>
        </w:rPr>
        <w:footnoteReference w:id="17"/>
      </w:r>
      <w:r w:rsidRPr="00266E6B">
        <w:rPr>
          <w:rFonts w:ascii="Calibri" w:hAnsi="Calibri" w:cs="Calibri"/>
          <w:kern w:val="0"/>
          <w:sz w:val="22"/>
          <w:szCs w:val="22"/>
        </w:rPr>
        <w:t xml:space="preserve"> It also </w:t>
      </w:r>
      <w:r w:rsidR="002A001A" w:rsidRPr="00266E6B">
        <w:rPr>
          <w:rFonts w:ascii="Calibri" w:hAnsi="Calibri" w:cs="Calibri"/>
          <w:kern w:val="0"/>
          <w:sz w:val="22"/>
          <w:szCs w:val="22"/>
        </w:rPr>
        <w:t>informs</w:t>
      </w:r>
      <w:r w:rsidRPr="00266E6B">
        <w:rPr>
          <w:rFonts w:ascii="Calibri" w:hAnsi="Calibri" w:cs="Calibri"/>
          <w:kern w:val="0"/>
          <w:sz w:val="22"/>
          <w:szCs w:val="22"/>
        </w:rPr>
        <w:t xml:space="preserve"> the approach taken</w:t>
      </w:r>
      <w:r w:rsidR="002A001A" w:rsidRPr="00266E6B">
        <w:rPr>
          <w:rFonts w:ascii="Calibri" w:hAnsi="Calibri" w:cs="Calibri"/>
          <w:kern w:val="0"/>
          <w:sz w:val="22"/>
          <w:szCs w:val="22"/>
        </w:rPr>
        <w:t xml:space="preserve"> by the Commission</w:t>
      </w:r>
      <w:r w:rsidRPr="00266E6B">
        <w:rPr>
          <w:rFonts w:ascii="Calibri" w:hAnsi="Calibri" w:cs="Calibri"/>
          <w:kern w:val="0"/>
          <w:sz w:val="22"/>
          <w:szCs w:val="22"/>
        </w:rPr>
        <w:t xml:space="preserve"> in </w:t>
      </w:r>
      <w:r w:rsidR="002A001A" w:rsidRPr="00266E6B">
        <w:rPr>
          <w:rFonts w:ascii="Calibri" w:hAnsi="Calibri" w:cs="Calibri"/>
          <w:kern w:val="0"/>
          <w:sz w:val="22"/>
          <w:szCs w:val="22"/>
        </w:rPr>
        <w:t>its</w:t>
      </w:r>
      <w:r w:rsidRPr="00266E6B">
        <w:rPr>
          <w:rFonts w:ascii="Calibri" w:hAnsi="Calibri" w:cs="Calibri"/>
          <w:kern w:val="0"/>
          <w:sz w:val="22"/>
          <w:szCs w:val="22"/>
        </w:rPr>
        <w:t xml:space="preserve"> Discussion Paper.</w:t>
      </w:r>
      <w:r w:rsidRPr="00266E6B">
        <w:rPr>
          <w:rFonts w:ascii="Calibri" w:hAnsi="Calibri" w:cs="Calibri"/>
          <w:i/>
          <w:iCs/>
          <w:kern w:val="0"/>
          <w:sz w:val="22"/>
          <w:szCs w:val="22"/>
        </w:rPr>
        <w:t xml:space="preserve"> </w:t>
      </w:r>
      <w:r w:rsidRPr="00266E6B">
        <w:rPr>
          <w:rFonts w:ascii="Calibri" w:hAnsi="Calibri" w:cs="Calibri"/>
          <w:kern w:val="0"/>
          <w:sz w:val="22"/>
          <w:szCs w:val="22"/>
        </w:rPr>
        <w:t xml:space="preserve">However, it is clear that it is not yet widely understood across the civil law context in Scotland – for example Burman and others found in their </w:t>
      </w:r>
      <w:r w:rsidR="002A001A" w:rsidRPr="00266E6B">
        <w:rPr>
          <w:rFonts w:ascii="Calibri" w:hAnsi="Calibri" w:cs="Calibri"/>
          <w:kern w:val="0"/>
          <w:sz w:val="22"/>
          <w:szCs w:val="22"/>
        </w:rPr>
        <w:t xml:space="preserve">recent </w:t>
      </w:r>
      <w:r w:rsidRPr="00266E6B">
        <w:rPr>
          <w:rFonts w:ascii="Calibri" w:hAnsi="Calibri" w:cs="Calibri"/>
          <w:kern w:val="0"/>
          <w:sz w:val="22"/>
          <w:szCs w:val="22"/>
        </w:rPr>
        <w:t>research with legal practitioners that in child contact proceedings domestic abuse is “considered as a point of contention between parties, and not as a (gendered) crime characterised by the imposition of power and control”.</w:t>
      </w:r>
      <w:r w:rsidRPr="00266E6B">
        <w:rPr>
          <w:rStyle w:val="FootnoteReference"/>
          <w:rFonts w:ascii="Calibri" w:hAnsi="Calibri" w:cs="Calibri"/>
          <w:kern w:val="0"/>
          <w:sz w:val="22"/>
          <w:szCs w:val="22"/>
        </w:rPr>
        <w:footnoteReference w:id="18"/>
      </w:r>
      <w:r w:rsidRPr="00266E6B">
        <w:rPr>
          <w:rFonts w:ascii="Calibri" w:hAnsi="Calibri" w:cs="Calibri"/>
          <w:kern w:val="0"/>
          <w:sz w:val="22"/>
          <w:szCs w:val="22"/>
        </w:rPr>
        <w:t xml:space="preserve"> There is a clear </w:t>
      </w:r>
      <w:r w:rsidR="00DC14B3" w:rsidRPr="00266E6B">
        <w:rPr>
          <w:rFonts w:ascii="Calibri" w:hAnsi="Calibri" w:cs="Calibri"/>
          <w:kern w:val="0"/>
          <w:sz w:val="22"/>
          <w:szCs w:val="22"/>
        </w:rPr>
        <w:t>to improve understanding of coercive control across the civil law context</w:t>
      </w:r>
      <w:r w:rsidRPr="00266E6B">
        <w:rPr>
          <w:rFonts w:ascii="Calibri" w:hAnsi="Calibri" w:cs="Calibri"/>
          <w:kern w:val="0"/>
          <w:sz w:val="22"/>
          <w:szCs w:val="22"/>
        </w:rPr>
        <w:t xml:space="preserve">. </w:t>
      </w:r>
    </w:p>
    <w:p w14:paraId="50AE2324" w14:textId="77777777" w:rsidR="0019022D" w:rsidRPr="00266E6B" w:rsidRDefault="0019022D" w:rsidP="0019022D">
      <w:pPr>
        <w:autoSpaceDE w:val="0"/>
        <w:autoSpaceDN w:val="0"/>
        <w:adjustRightInd w:val="0"/>
        <w:jc w:val="both"/>
        <w:rPr>
          <w:rFonts w:ascii="Calibri" w:hAnsi="Calibri" w:cs="Calibri"/>
          <w:kern w:val="0"/>
          <w:sz w:val="22"/>
          <w:szCs w:val="22"/>
        </w:rPr>
      </w:pPr>
    </w:p>
    <w:p w14:paraId="741E7A2B" w14:textId="646841CD" w:rsidR="0019022D" w:rsidRPr="00266E6B" w:rsidRDefault="0019022D" w:rsidP="0019022D">
      <w:pPr>
        <w:autoSpaceDE w:val="0"/>
        <w:autoSpaceDN w:val="0"/>
        <w:adjustRightInd w:val="0"/>
        <w:jc w:val="both"/>
        <w:rPr>
          <w:rFonts w:ascii="Calibri" w:hAnsi="Calibri" w:cs="Calibri"/>
          <w:kern w:val="0"/>
          <w:sz w:val="22"/>
          <w:szCs w:val="22"/>
        </w:rPr>
      </w:pPr>
      <w:r w:rsidRPr="00266E6B">
        <w:rPr>
          <w:rFonts w:ascii="Calibri" w:hAnsi="Calibri" w:cs="Calibri"/>
          <w:kern w:val="0"/>
          <w:sz w:val="22"/>
          <w:szCs w:val="22"/>
        </w:rPr>
        <w:t xml:space="preserve">As </w:t>
      </w:r>
      <w:r w:rsidR="00DF2FC1" w:rsidRPr="00266E6B">
        <w:rPr>
          <w:rFonts w:ascii="Calibri" w:hAnsi="Calibri" w:cs="Calibri"/>
          <w:kern w:val="0"/>
          <w:sz w:val="22"/>
          <w:szCs w:val="22"/>
        </w:rPr>
        <w:t xml:space="preserve">we </w:t>
      </w:r>
      <w:r w:rsidRPr="00266E6B">
        <w:rPr>
          <w:rFonts w:ascii="Calibri" w:hAnsi="Calibri" w:cs="Calibri"/>
          <w:kern w:val="0"/>
          <w:sz w:val="22"/>
          <w:szCs w:val="22"/>
        </w:rPr>
        <w:t>argued in our 2022 article, reconceptualising children as adjoined victims enhances and promote</w:t>
      </w:r>
      <w:r w:rsidR="00EA2554" w:rsidRPr="00266E6B">
        <w:rPr>
          <w:rFonts w:ascii="Calibri" w:hAnsi="Calibri" w:cs="Calibri"/>
          <w:kern w:val="0"/>
          <w:sz w:val="22"/>
          <w:szCs w:val="22"/>
        </w:rPr>
        <w:t>s</w:t>
      </w:r>
      <w:r w:rsidRPr="00266E6B">
        <w:rPr>
          <w:rFonts w:ascii="Calibri" w:hAnsi="Calibri" w:cs="Calibri"/>
          <w:kern w:val="0"/>
          <w:sz w:val="22"/>
          <w:szCs w:val="22"/>
        </w:rPr>
        <w:t xml:space="preserve"> a gendered understanding of domestic abuse</w:t>
      </w:r>
      <w:r w:rsidR="00BF1D3D" w:rsidRPr="00266E6B">
        <w:rPr>
          <w:rFonts w:ascii="Calibri" w:hAnsi="Calibri" w:cs="Calibri"/>
          <w:kern w:val="0"/>
          <w:sz w:val="22"/>
          <w:szCs w:val="22"/>
        </w:rPr>
        <w:t>.</w:t>
      </w:r>
      <w:r w:rsidR="00DF2FC1" w:rsidRPr="00266E6B">
        <w:rPr>
          <w:rStyle w:val="FootnoteReference"/>
          <w:rFonts w:ascii="Calibri" w:hAnsi="Calibri" w:cs="Calibri"/>
          <w:kern w:val="0"/>
          <w:sz w:val="22"/>
          <w:szCs w:val="22"/>
        </w:rPr>
        <w:footnoteReference w:id="19"/>
      </w:r>
      <w:r w:rsidR="00BF1D3D" w:rsidRPr="00266E6B">
        <w:rPr>
          <w:rFonts w:ascii="Calibri" w:hAnsi="Calibri" w:cs="Calibri"/>
          <w:kern w:val="0"/>
          <w:sz w:val="22"/>
          <w:szCs w:val="22"/>
        </w:rPr>
        <w:t xml:space="preserve"> This is because </w:t>
      </w:r>
      <w:r w:rsidRPr="00266E6B">
        <w:rPr>
          <w:rFonts w:ascii="Calibri" w:hAnsi="Calibri" w:cs="Calibri"/>
          <w:kern w:val="0"/>
          <w:sz w:val="22"/>
          <w:szCs w:val="22"/>
        </w:rPr>
        <w:t xml:space="preserve">the highly gendered nature of caregiving and the centrality of attacks on the mother/child relationship </w:t>
      </w:r>
      <w:r w:rsidR="00BF1D3D" w:rsidRPr="00266E6B">
        <w:rPr>
          <w:rFonts w:ascii="Calibri" w:hAnsi="Calibri" w:cs="Calibri"/>
          <w:kern w:val="0"/>
          <w:sz w:val="22"/>
          <w:szCs w:val="22"/>
        </w:rPr>
        <w:t>in</w:t>
      </w:r>
      <w:r w:rsidRPr="00266E6B">
        <w:rPr>
          <w:rFonts w:ascii="Calibri" w:hAnsi="Calibri" w:cs="Calibri"/>
          <w:kern w:val="0"/>
          <w:sz w:val="22"/>
          <w:szCs w:val="22"/>
        </w:rPr>
        <w:t xml:space="preserve"> coercive control</w:t>
      </w:r>
      <w:r w:rsidR="00BF1D3D" w:rsidRPr="00266E6B">
        <w:rPr>
          <w:rFonts w:ascii="Calibri" w:hAnsi="Calibri" w:cs="Calibri"/>
          <w:kern w:val="0"/>
          <w:sz w:val="22"/>
          <w:szCs w:val="22"/>
        </w:rPr>
        <w:t>.</w:t>
      </w:r>
      <w:r w:rsidRPr="00266E6B">
        <w:rPr>
          <w:rFonts w:ascii="Calibri" w:hAnsi="Calibri" w:cs="Calibri"/>
          <w:kern w:val="0"/>
          <w:sz w:val="22"/>
          <w:szCs w:val="22"/>
        </w:rPr>
        <w:t xml:space="preserve"> </w:t>
      </w:r>
      <w:r w:rsidR="00751994" w:rsidRPr="00266E6B">
        <w:rPr>
          <w:rFonts w:ascii="Calibri" w:hAnsi="Calibri" w:cs="Calibri"/>
          <w:kern w:val="0"/>
          <w:sz w:val="22"/>
          <w:szCs w:val="22"/>
        </w:rPr>
        <w:t xml:space="preserve">Supporting the mother/child relationship is </w:t>
      </w:r>
      <w:r w:rsidR="007F4BD0" w:rsidRPr="00266E6B">
        <w:rPr>
          <w:rFonts w:ascii="Calibri" w:hAnsi="Calibri" w:cs="Calibri"/>
          <w:kern w:val="0"/>
          <w:sz w:val="22"/>
          <w:szCs w:val="22"/>
        </w:rPr>
        <w:t>regarded</w:t>
      </w:r>
      <w:r w:rsidR="00751994" w:rsidRPr="00266E6B">
        <w:rPr>
          <w:rFonts w:ascii="Calibri" w:hAnsi="Calibri" w:cs="Calibri"/>
          <w:kern w:val="0"/>
          <w:sz w:val="22"/>
          <w:szCs w:val="22"/>
        </w:rPr>
        <w:t xml:space="preserve"> as central to safety and recovery from domestic abuse.</w:t>
      </w:r>
      <w:r w:rsidR="007F4BD0" w:rsidRPr="00266E6B">
        <w:rPr>
          <w:rStyle w:val="FootnoteReference"/>
          <w:rFonts w:ascii="Calibri" w:hAnsi="Calibri" w:cs="Calibri"/>
          <w:kern w:val="0"/>
          <w:sz w:val="22"/>
          <w:szCs w:val="22"/>
        </w:rPr>
        <w:footnoteReference w:id="20"/>
      </w:r>
    </w:p>
    <w:p w14:paraId="510D1183" w14:textId="77777777" w:rsidR="00751994" w:rsidRPr="00266E6B" w:rsidRDefault="00751994" w:rsidP="0019022D">
      <w:pPr>
        <w:autoSpaceDE w:val="0"/>
        <w:autoSpaceDN w:val="0"/>
        <w:adjustRightInd w:val="0"/>
        <w:jc w:val="both"/>
        <w:rPr>
          <w:rFonts w:ascii="Calibri" w:hAnsi="Calibri" w:cs="Calibri"/>
          <w:kern w:val="0"/>
          <w:sz w:val="22"/>
          <w:szCs w:val="22"/>
        </w:rPr>
      </w:pPr>
    </w:p>
    <w:p w14:paraId="21F6D0E6" w14:textId="67956A1C" w:rsidR="00715001" w:rsidRPr="00266E6B" w:rsidRDefault="00751994" w:rsidP="00301064">
      <w:pPr>
        <w:autoSpaceDE w:val="0"/>
        <w:autoSpaceDN w:val="0"/>
        <w:adjustRightInd w:val="0"/>
        <w:jc w:val="both"/>
        <w:rPr>
          <w:rFonts w:ascii="Calibri" w:hAnsi="Calibri" w:cs="Calibri"/>
          <w:i/>
          <w:iCs/>
          <w:kern w:val="0"/>
          <w:sz w:val="22"/>
          <w:szCs w:val="22"/>
        </w:rPr>
      </w:pPr>
      <w:r w:rsidRPr="00266E6B">
        <w:rPr>
          <w:rFonts w:ascii="Calibri" w:hAnsi="Calibri" w:cs="Calibri"/>
          <w:kern w:val="0"/>
          <w:sz w:val="22"/>
          <w:szCs w:val="22"/>
        </w:rPr>
        <w:t>We are firmly of the view that it is essential that children can be covered by the order</w:t>
      </w:r>
      <w:r w:rsidR="007F4BD0" w:rsidRPr="00266E6B">
        <w:rPr>
          <w:rFonts w:ascii="Calibri" w:hAnsi="Calibri" w:cs="Calibri"/>
          <w:kern w:val="0"/>
          <w:sz w:val="22"/>
          <w:szCs w:val="22"/>
        </w:rPr>
        <w:t xml:space="preserve"> sought by the adult victim</w:t>
      </w:r>
      <w:r w:rsidRPr="00266E6B">
        <w:rPr>
          <w:rFonts w:ascii="Calibri" w:hAnsi="Calibri" w:cs="Calibri"/>
          <w:kern w:val="0"/>
          <w:sz w:val="22"/>
          <w:szCs w:val="22"/>
        </w:rPr>
        <w:t xml:space="preserve">. </w:t>
      </w:r>
      <w:r w:rsidR="0019022D" w:rsidRPr="00266E6B">
        <w:rPr>
          <w:rFonts w:ascii="Calibri" w:hAnsi="Calibri" w:cs="Calibri"/>
          <w:kern w:val="0"/>
          <w:sz w:val="22"/>
          <w:szCs w:val="22"/>
        </w:rPr>
        <w:t xml:space="preserve">Research </w:t>
      </w:r>
      <w:r w:rsidR="00A90CBA" w:rsidRPr="00266E6B">
        <w:rPr>
          <w:rFonts w:ascii="Calibri" w:hAnsi="Calibri" w:cs="Calibri"/>
          <w:kern w:val="0"/>
          <w:sz w:val="22"/>
          <w:szCs w:val="22"/>
        </w:rPr>
        <w:t>in England and Wales</w:t>
      </w:r>
      <w:r w:rsidR="0019022D" w:rsidRPr="00266E6B">
        <w:rPr>
          <w:rFonts w:ascii="Calibri" w:hAnsi="Calibri" w:cs="Calibri"/>
          <w:kern w:val="0"/>
          <w:sz w:val="22"/>
          <w:szCs w:val="22"/>
        </w:rPr>
        <w:t xml:space="preserve"> has shown that victims of domestic abuse want civil </w:t>
      </w:r>
      <w:r w:rsidR="0019022D" w:rsidRPr="00266E6B">
        <w:rPr>
          <w:rFonts w:ascii="Calibri" w:hAnsi="Calibri" w:cs="Calibri"/>
          <w:kern w:val="0"/>
          <w:sz w:val="22"/>
          <w:szCs w:val="22"/>
        </w:rPr>
        <w:lastRenderedPageBreak/>
        <w:t>orders as it enables them to retain some control over applying for an order</w:t>
      </w:r>
      <w:r w:rsidR="00EA2554" w:rsidRPr="00266E6B">
        <w:rPr>
          <w:rFonts w:ascii="Calibri" w:hAnsi="Calibri" w:cs="Calibri"/>
          <w:kern w:val="0"/>
          <w:sz w:val="22"/>
          <w:szCs w:val="22"/>
        </w:rPr>
        <w:t>;</w:t>
      </w:r>
      <w:r w:rsidR="0019022D" w:rsidRPr="00266E6B">
        <w:rPr>
          <w:rStyle w:val="FootnoteReference"/>
          <w:rFonts w:ascii="Calibri" w:hAnsi="Calibri" w:cs="Calibri"/>
          <w:kern w:val="0"/>
          <w:sz w:val="22"/>
          <w:szCs w:val="22"/>
        </w:rPr>
        <w:footnoteReference w:id="21"/>
      </w:r>
      <w:r w:rsidR="0019022D" w:rsidRPr="00266E6B">
        <w:rPr>
          <w:rFonts w:ascii="Calibri" w:hAnsi="Calibri" w:cs="Calibri"/>
          <w:kern w:val="0"/>
          <w:sz w:val="22"/>
          <w:szCs w:val="22"/>
        </w:rPr>
        <w:t xml:space="preserve">  </w:t>
      </w:r>
      <w:r w:rsidR="00EA2554" w:rsidRPr="00266E6B">
        <w:rPr>
          <w:rFonts w:ascii="Calibri" w:hAnsi="Calibri" w:cs="Calibri"/>
          <w:kern w:val="0"/>
          <w:sz w:val="22"/>
          <w:szCs w:val="22"/>
        </w:rPr>
        <w:t>and</w:t>
      </w:r>
      <w:r w:rsidR="0019022D" w:rsidRPr="00266E6B">
        <w:rPr>
          <w:rFonts w:ascii="Calibri" w:hAnsi="Calibri" w:cs="Calibri"/>
          <w:kern w:val="0"/>
          <w:sz w:val="22"/>
          <w:szCs w:val="22"/>
        </w:rPr>
        <w:t xml:space="preserve"> for civil orders to be a useful </w:t>
      </w:r>
      <w:r w:rsidR="000B7368" w:rsidRPr="00266E6B">
        <w:rPr>
          <w:rFonts w:ascii="Calibri" w:hAnsi="Calibri" w:cs="Calibri"/>
          <w:kern w:val="0"/>
          <w:sz w:val="22"/>
          <w:szCs w:val="22"/>
        </w:rPr>
        <w:t xml:space="preserve">and meaningful </w:t>
      </w:r>
      <w:r w:rsidR="0019022D" w:rsidRPr="00266E6B">
        <w:rPr>
          <w:rFonts w:ascii="Calibri" w:hAnsi="Calibri" w:cs="Calibri"/>
          <w:kern w:val="0"/>
          <w:sz w:val="22"/>
          <w:szCs w:val="22"/>
        </w:rPr>
        <w:t>tool for (typically) women it is essential that their children can be covered</w:t>
      </w:r>
      <w:r w:rsidRPr="00266E6B">
        <w:rPr>
          <w:rFonts w:ascii="Calibri" w:hAnsi="Calibri" w:cs="Calibri"/>
          <w:kern w:val="0"/>
          <w:sz w:val="22"/>
          <w:szCs w:val="22"/>
        </w:rPr>
        <w:t>.</w:t>
      </w:r>
      <w:r w:rsidR="00EA2554" w:rsidRPr="00266E6B">
        <w:rPr>
          <w:rFonts w:ascii="Calibri" w:hAnsi="Calibri" w:cs="Calibri"/>
          <w:kern w:val="0"/>
          <w:sz w:val="22"/>
          <w:szCs w:val="22"/>
        </w:rPr>
        <w:t xml:space="preserve"> </w:t>
      </w:r>
      <w:r w:rsidR="0019022D" w:rsidRPr="00266E6B">
        <w:rPr>
          <w:rFonts w:ascii="Calibri" w:hAnsi="Calibri" w:cs="Calibri"/>
          <w:kern w:val="0"/>
          <w:sz w:val="22"/>
          <w:szCs w:val="22"/>
        </w:rPr>
        <w:t xml:space="preserve">Indeed, the starting point should be that children </w:t>
      </w:r>
      <w:r w:rsidR="00EA2554" w:rsidRPr="00266E6B">
        <w:rPr>
          <w:rFonts w:ascii="Calibri" w:hAnsi="Calibri" w:cs="Calibri"/>
          <w:kern w:val="0"/>
          <w:sz w:val="22"/>
          <w:szCs w:val="22"/>
        </w:rPr>
        <w:t>can</w:t>
      </w:r>
      <w:r w:rsidR="0019022D" w:rsidRPr="00266E6B">
        <w:rPr>
          <w:rFonts w:ascii="Calibri" w:hAnsi="Calibri" w:cs="Calibri"/>
          <w:kern w:val="0"/>
          <w:sz w:val="22"/>
          <w:szCs w:val="22"/>
        </w:rPr>
        <w:t xml:space="preserve"> be covered because</w:t>
      </w:r>
      <w:r w:rsidR="000B7368" w:rsidRPr="00266E6B">
        <w:rPr>
          <w:rFonts w:ascii="Calibri" w:hAnsi="Calibri" w:cs="Calibri"/>
          <w:kern w:val="0"/>
          <w:sz w:val="22"/>
          <w:szCs w:val="22"/>
        </w:rPr>
        <w:t>, simply put,</w:t>
      </w:r>
      <w:r w:rsidR="0019022D" w:rsidRPr="00266E6B">
        <w:rPr>
          <w:rFonts w:ascii="Calibri" w:hAnsi="Calibri" w:cs="Calibri"/>
          <w:kern w:val="0"/>
          <w:sz w:val="22"/>
          <w:szCs w:val="22"/>
        </w:rPr>
        <w:t xml:space="preserve"> they are also trapped in the regime of domestic abuse together with their parent/caregiver/connected adult.</w:t>
      </w:r>
      <w:r w:rsidR="00EA2554" w:rsidRPr="00266E6B">
        <w:rPr>
          <w:rFonts w:ascii="Calibri" w:hAnsi="Calibri" w:cs="Calibri"/>
          <w:kern w:val="0"/>
          <w:sz w:val="22"/>
          <w:szCs w:val="22"/>
        </w:rPr>
        <w:t xml:space="preserve"> </w:t>
      </w:r>
      <w:r w:rsidR="00715001" w:rsidRPr="00266E6B">
        <w:rPr>
          <w:rFonts w:ascii="Calibri" w:hAnsi="Calibri" w:cs="Calibri"/>
          <w:kern w:val="0"/>
          <w:sz w:val="22"/>
          <w:szCs w:val="22"/>
        </w:rPr>
        <w:t>As we emphasised in our 2022 article</w:t>
      </w:r>
      <w:r w:rsidR="00EB384D" w:rsidRPr="00266E6B">
        <w:rPr>
          <w:rFonts w:ascii="Calibri" w:hAnsi="Calibri" w:cs="Calibri"/>
          <w:kern w:val="0"/>
          <w:sz w:val="22"/>
          <w:szCs w:val="22"/>
        </w:rPr>
        <w:t>,</w:t>
      </w:r>
      <w:r w:rsidR="00715001" w:rsidRPr="00266E6B">
        <w:rPr>
          <w:rFonts w:ascii="Calibri" w:hAnsi="Calibri" w:cs="Calibri"/>
          <w:kern w:val="0"/>
          <w:sz w:val="22"/>
          <w:szCs w:val="22"/>
        </w:rPr>
        <w:t xml:space="preserve"> co</w:t>
      </w:r>
      <w:r w:rsidR="000B7368" w:rsidRPr="00266E6B">
        <w:rPr>
          <w:rFonts w:ascii="Calibri" w:hAnsi="Calibri" w:cs="Calibri"/>
          <w:kern w:val="0"/>
          <w:sz w:val="22"/>
          <w:szCs w:val="22"/>
        </w:rPr>
        <w:t>n</w:t>
      </w:r>
      <w:r w:rsidR="00715001" w:rsidRPr="00266E6B">
        <w:rPr>
          <w:rFonts w:ascii="Calibri" w:hAnsi="Calibri" w:cs="Calibri"/>
          <w:kern w:val="0"/>
          <w:sz w:val="22"/>
          <w:szCs w:val="22"/>
        </w:rPr>
        <w:t xml:space="preserve">temporary research highlights the importance of recognising and managing coercive control as </w:t>
      </w:r>
      <w:r w:rsidR="00301064" w:rsidRPr="00266E6B">
        <w:rPr>
          <w:rFonts w:ascii="Calibri" w:hAnsi="Calibri" w:cs="Calibri"/>
          <w:kern w:val="0"/>
          <w:sz w:val="22"/>
          <w:szCs w:val="22"/>
        </w:rPr>
        <w:t>a shared experience of interlinked harms caused by a single perpetrator.</w:t>
      </w:r>
      <w:r w:rsidR="00A43737" w:rsidRPr="00266E6B">
        <w:rPr>
          <w:rStyle w:val="FootnoteReference"/>
          <w:rFonts w:ascii="Calibri" w:hAnsi="Calibri" w:cs="Calibri"/>
          <w:kern w:val="0"/>
          <w:sz w:val="22"/>
          <w:szCs w:val="22"/>
        </w:rPr>
        <w:footnoteReference w:id="22"/>
      </w:r>
    </w:p>
    <w:p w14:paraId="338B4669" w14:textId="77777777" w:rsidR="008301D2" w:rsidRPr="00266E6B" w:rsidRDefault="008301D2" w:rsidP="0019022D">
      <w:pPr>
        <w:autoSpaceDE w:val="0"/>
        <w:autoSpaceDN w:val="0"/>
        <w:adjustRightInd w:val="0"/>
        <w:jc w:val="both"/>
        <w:rPr>
          <w:rFonts w:ascii="Calibri" w:hAnsi="Calibri" w:cs="Calibri"/>
          <w:kern w:val="0"/>
          <w:sz w:val="22"/>
          <w:szCs w:val="22"/>
        </w:rPr>
      </w:pPr>
    </w:p>
    <w:p w14:paraId="5FAC4E8A" w14:textId="4CC85169" w:rsidR="00385596" w:rsidRPr="00266E6B" w:rsidRDefault="00A43737" w:rsidP="00A623FF">
      <w:pPr>
        <w:autoSpaceDE w:val="0"/>
        <w:autoSpaceDN w:val="0"/>
        <w:adjustRightInd w:val="0"/>
        <w:jc w:val="both"/>
        <w:rPr>
          <w:rFonts w:ascii="Calibri" w:hAnsi="Calibri" w:cs="Calibri"/>
          <w:kern w:val="0"/>
          <w:sz w:val="22"/>
          <w:szCs w:val="22"/>
        </w:rPr>
      </w:pPr>
      <w:r w:rsidRPr="00266E6B">
        <w:rPr>
          <w:rFonts w:ascii="Calibri" w:hAnsi="Calibri" w:cs="Calibri"/>
          <w:kern w:val="0"/>
          <w:sz w:val="22"/>
          <w:szCs w:val="22"/>
        </w:rPr>
        <w:t>However</w:t>
      </w:r>
      <w:r w:rsidR="00A623FF" w:rsidRPr="00266E6B">
        <w:rPr>
          <w:rFonts w:ascii="Calibri" w:hAnsi="Calibri" w:cs="Calibri"/>
          <w:kern w:val="0"/>
          <w:sz w:val="22"/>
          <w:szCs w:val="22"/>
        </w:rPr>
        <w:t>,</w:t>
      </w:r>
      <w:r w:rsidR="00715001" w:rsidRPr="00266E6B">
        <w:rPr>
          <w:rFonts w:ascii="Calibri" w:hAnsi="Calibri" w:cs="Calibri"/>
          <w:kern w:val="0"/>
          <w:sz w:val="22"/>
          <w:szCs w:val="22"/>
        </w:rPr>
        <w:t xml:space="preserve"> </w:t>
      </w:r>
      <w:r w:rsidR="00C1316E" w:rsidRPr="00266E6B">
        <w:rPr>
          <w:rFonts w:ascii="Calibri" w:hAnsi="Calibri" w:cs="Calibri"/>
          <w:kern w:val="0"/>
          <w:sz w:val="22"/>
          <w:szCs w:val="22"/>
        </w:rPr>
        <w:t>while children are also trapped in the regime of domestic abuse</w:t>
      </w:r>
      <w:r w:rsidR="00301064" w:rsidRPr="00266E6B">
        <w:rPr>
          <w:rFonts w:ascii="Calibri" w:hAnsi="Calibri" w:cs="Calibri"/>
          <w:kern w:val="0"/>
          <w:sz w:val="22"/>
          <w:szCs w:val="22"/>
        </w:rPr>
        <w:t xml:space="preserve"> – and share in and experience directly the distinct and cumulative harms - it is important to be </w:t>
      </w:r>
      <w:r w:rsidR="000B7368" w:rsidRPr="00266E6B">
        <w:rPr>
          <w:rFonts w:ascii="Calibri" w:hAnsi="Calibri" w:cs="Calibri"/>
          <w:kern w:val="0"/>
          <w:sz w:val="22"/>
          <w:szCs w:val="22"/>
        </w:rPr>
        <w:t>mindful</w:t>
      </w:r>
      <w:r w:rsidR="00301064" w:rsidRPr="00266E6B">
        <w:rPr>
          <w:rFonts w:ascii="Calibri" w:hAnsi="Calibri" w:cs="Calibri"/>
          <w:kern w:val="0"/>
          <w:sz w:val="22"/>
          <w:szCs w:val="22"/>
        </w:rPr>
        <w:t xml:space="preserve"> that adult</w:t>
      </w:r>
      <w:r w:rsidR="000B7368" w:rsidRPr="00266E6B">
        <w:rPr>
          <w:rFonts w:ascii="Calibri" w:hAnsi="Calibri" w:cs="Calibri"/>
          <w:kern w:val="0"/>
          <w:sz w:val="22"/>
          <w:szCs w:val="22"/>
        </w:rPr>
        <w:t xml:space="preserve"> victim</w:t>
      </w:r>
      <w:r w:rsidR="00301064" w:rsidRPr="00266E6B">
        <w:rPr>
          <w:rFonts w:ascii="Calibri" w:hAnsi="Calibri" w:cs="Calibri"/>
          <w:kern w:val="0"/>
          <w:sz w:val="22"/>
          <w:szCs w:val="22"/>
        </w:rPr>
        <w:t xml:space="preserve"> and children </w:t>
      </w:r>
      <w:r w:rsidR="00A623FF" w:rsidRPr="00266E6B">
        <w:rPr>
          <w:rFonts w:ascii="Calibri" w:hAnsi="Calibri" w:cs="Calibri"/>
          <w:kern w:val="0"/>
          <w:sz w:val="22"/>
          <w:szCs w:val="22"/>
        </w:rPr>
        <w:t xml:space="preserve">do not have identical experiences. </w:t>
      </w:r>
      <w:r w:rsidR="006C41EC" w:rsidRPr="00266E6B">
        <w:rPr>
          <w:rFonts w:ascii="Calibri" w:hAnsi="Calibri" w:cs="Calibri"/>
          <w:kern w:val="0"/>
          <w:sz w:val="22"/>
          <w:szCs w:val="22"/>
        </w:rPr>
        <w:t xml:space="preserve">Recognising children as adjoined victims </w:t>
      </w:r>
      <w:r w:rsidR="00917ECB" w:rsidRPr="00266E6B">
        <w:rPr>
          <w:rFonts w:ascii="Calibri" w:hAnsi="Calibri" w:cs="Calibri"/>
          <w:kern w:val="0"/>
          <w:sz w:val="22"/>
          <w:szCs w:val="22"/>
        </w:rPr>
        <w:t>recognises</w:t>
      </w:r>
      <w:r w:rsidR="006C41EC" w:rsidRPr="00266E6B">
        <w:rPr>
          <w:rFonts w:ascii="Calibri" w:hAnsi="Calibri" w:cs="Calibri"/>
          <w:kern w:val="0"/>
          <w:sz w:val="22"/>
          <w:szCs w:val="22"/>
        </w:rPr>
        <w:t xml:space="preserve"> that they are, as we describe in our 2022 article, </w:t>
      </w:r>
      <w:r w:rsidR="00542F8E" w:rsidRPr="00266E6B">
        <w:rPr>
          <w:rFonts w:ascii="Calibri" w:hAnsi="Calibri" w:cs="Calibri"/>
          <w:kern w:val="0"/>
          <w:sz w:val="22"/>
          <w:szCs w:val="22"/>
        </w:rPr>
        <w:t>“</w:t>
      </w:r>
      <w:r w:rsidR="006C41EC" w:rsidRPr="00266E6B">
        <w:rPr>
          <w:rFonts w:ascii="Calibri" w:hAnsi="Calibri" w:cs="Calibri"/>
          <w:kern w:val="0"/>
          <w:sz w:val="22"/>
          <w:szCs w:val="22"/>
        </w:rPr>
        <w:t xml:space="preserve">agents within a triadic </w:t>
      </w:r>
      <w:r w:rsidR="00542F8E" w:rsidRPr="00266E6B">
        <w:rPr>
          <w:rFonts w:ascii="Calibri" w:hAnsi="Calibri" w:cs="Calibri"/>
          <w:kern w:val="0"/>
          <w:sz w:val="22"/>
          <w:szCs w:val="22"/>
        </w:rPr>
        <w:t>relationship”.</w:t>
      </w:r>
      <w:r w:rsidR="00DD50E0" w:rsidRPr="00266E6B">
        <w:rPr>
          <w:rStyle w:val="FootnoteReference"/>
          <w:rFonts w:ascii="Calibri" w:hAnsi="Calibri" w:cs="Calibri"/>
          <w:kern w:val="0"/>
          <w:sz w:val="22"/>
          <w:szCs w:val="22"/>
        </w:rPr>
        <w:footnoteReference w:id="23"/>
      </w:r>
      <w:r w:rsidR="00542F8E" w:rsidRPr="00266E6B">
        <w:rPr>
          <w:rFonts w:ascii="Calibri" w:hAnsi="Calibri" w:cs="Calibri"/>
          <w:kern w:val="0"/>
          <w:sz w:val="22"/>
          <w:szCs w:val="22"/>
        </w:rPr>
        <w:t xml:space="preserve"> And as</w:t>
      </w:r>
      <w:r w:rsidR="00C1316E" w:rsidRPr="00266E6B">
        <w:rPr>
          <w:rFonts w:ascii="Calibri" w:hAnsi="Calibri" w:cs="Calibri"/>
          <w:kern w:val="0"/>
          <w:sz w:val="22"/>
          <w:szCs w:val="22"/>
        </w:rPr>
        <w:t xml:space="preserve"> Morrison and Houghton put it, “</w:t>
      </w:r>
      <w:r w:rsidR="00715001" w:rsidRPr="00266E6B">
        <w:rPr>
          <w:rFonts w:ascii="Calibri" w:hAnsi="Calibri" w:cs="Calibri"/>
          <w:kern w:val="0"/>
          <w:sz w:val="22"/>
          <w:szCs w:val="22"/>
        </w:rPr>
        <w:t xml:space="preserve">as well as connections there are points of difference - </w:t>
      </w:r>
      <w:r w:rsidR="00C1316E" w:rsidRPr="00266E6B">
        <w:rPr>
          <w:rFonts w:ascii="Calibri" w:hAnsi="Calibri" w:cs="Calibri"/>
          <w:color w:val="000000"/>
          <w:kern w:val="0"/>
          <w:sz w:val="22"/>
          <w:szCs w:val="22"/>
        </w:rPr>
        <w:t>while children’s and women’s rights to protection and provision may be linked, they are not synonymous or proxies for one another.”</w:t>
      </w:r>
      <w:r w:rsidR="00C1316E" w:rsidRPr="00266E6B">
        <w:rPr>
          <w:rStyle w:val="FootnoteReference"/>
          <w:rFonts w:ascii="Calibri" w:hAnsi="Calibri" w:cs="Calibri"/>
          <w:color w:val="000000"/>
          <w:kern w:val="0"/>
          <w:sz w:val="22"/>
          <w:szCs w:val="22"/>
        </w:rPr>
        <w:footnoteReference w:id="24"/>
      </w:r>
      <w:r w:rsidR="000B7368" w:rsidRPr="00266E6B">
        <w:rPr>
          <w:rFonts w:ascii="Calibri" w:hAnsi="Calibri" w:cs="Calibri"/>
          <w:color w:val="000000"/>
          <w:kern w:val="0"/>
          <w:sz w:val="22"/>
          <w:szCs w:val="22"/>
        </w:rPr>
        <w:t xml:space="preserve"> Therefore</w:t>
      </w:r>
      <w:r w:rsidR="00385596" w:rsidRPr="00266E6B">
        <w:rPr>
          <w:rFonts w:ascii="Calibri" w:hAnsi="Calibri" w:cs="Calibri"/>
          <w:color w:val="000000"/>
          <w:kern w:val="0"/>
          <w:sz w:val="22"/>
          <w:szCs w:val="22"/>
        </w:rPr>
        <w:t xml:space="preserve"> while it is essential that</w:t>
      </w:r>
      <w:r w:rsidR="00385596" w:rsidRPr="00266E6B">
        <w:rPr>
          <w:rFonts w:ascii="Calibri" w:hAnsi="Calibri" w:cs="Calibri"/>
          <w:kern w:val="0"/>
          <w:sz w:val="22"/>
          <w:szCs w:val="22"/>
        </w:rPr>
        <w:t xml:space="preserve"> children can be covered by the order sought by the adult victim, i</w:t>
      </w:r>
      <w:r w:rsidR="00A623FF" w:rsidRPr="00266E6B">
        <w:rPr>
          <w:rFonts w:ascii="Calibri" w:hAnsi="Calibri" w:cs="Calibri"/>
          <w:kern w:val="0"/>
          <w:sz w:val="22"/>
          <w:szCs w:val="22"/>
        </w:rPr>
        <w:t xml:space="preserve">t is </w:t>
      </w:r>
      <w:r w:rsidR="00385596" w:rsidRPr="00266E6B">
        <w:rPr>
          <w:rFonts w:ascii="Calibri" w:hAnsi="Calibri" w:cs="Calibri"/>
          <w:kern w:val="0"/>
          <w:sz w:val="22"/>
          <w:szCs w:val="22"/>
        </w:rPr>
        <w:t xml:space="preserve">equally </w:t>
      </w:r>
      <w:r w:rsidR="000A7032" w:rsidRPr="00266E6B">
        <w:rPr>
          <w:rFonts w:ascii="Calibri" w:hAnsi="Calibri" w:cs="Calibri"/>
          <w:kern w:val="0"/>
          <w:sz w:val="22"/>
          <w:szCs w:val="22"/>
        </w:rPr>
        <w:t>essential that children’s views are heard as part of this process</w:t>
      </w:r>
      <w:r w:rsidR="0085460F" w:rsidRPr="00266E6B">
        <w:rPr>
          <w:rFonts w:ascii="Calibri" w:hAnsi="Calibri" w:cs="Calibri"/>
          <w:kern w:val="0"/>
          <w:sz w:val="22"/>
          <w:szCs w:val="22"/>
        </w:rPr>
        <w:t xml:space="preserve">, as the </w:t>
      </w:r>
      <w:r w:rsidR="008F3892" w:rsidRPr="00266E6B">
        <w:rPr>
          <w:rFonts w:ascii="Calibri" w:hAnsi="Calibri" w:cs="Calibri"/>
          <w:kern w:val="0"/>
          <w:sz w:val="22"/>
          <w:szCs w:val="22"/>
        </w:rPr>
        <w:t>SLC D</w:t>
      </w:r>
      <w:r w:rsidR="0085460F" w:rsidRPr="00266E6B">
        <w:rPr>
          <w:rFonts w:ascii="Calibri" w:hAnsi="Calibri" w:cs="Calibri"/>
          <w:kern w:val="0"/>
          <w:sz w:val="22"/>
          <w:szCs w:val="22"/>
        </w:rPr>
        <w:t xml:space="preserve">iscussion </w:t>
      </w:r>
      <w:r w:rsidR="008F3892" w:rsidRPr="00266E6B">
        <w:rPr>
          <w:rFonts w:ascii="Calibri" w:hAnsi="Calibri" w:cs="Calibri"/>
          <w:kern w:val="0"/>
          <w:sz w:val="22"/>
          <w:szCs w:val="22"/>
        </w:rPr>
        <w:t>P</w:t>
      </w:r>
      <w:r w:rsidR="0085460F" w:rsidRPr="00266E6B">
        <w:rPr>
          <w:rFonts w:ascii="Calibri" w:hAnsi="Calibri" w:cs="Calibri"/>
          <w:kern w:val="0"/>
          <w:sz w:val="22"/>
          <w:szCs w:val="22"/>
        </w:rPr>
        <w:t>aper acknowledges</w:t>
      </w:r>
      <w:r w:rsidR="00A623FF" w:rsidRPr="00266E6B">
        <w:rPr>
          <w:rFonts w:ascii="Calibri" w:hAnsi="Calibri" w:cs="Calibri"/>
          <w:kern w:val="0"/>
          <w:sz w:val="22"/>
          <w:szCs w:val="22"/>
        </w:rPr>
        <w:t xml:space="preserve">. </w:t>
      </w:r>
    </w:p>
    <w:p w14:paraId="76F5E35E" w14:textId="77777777" w:rsidR="00385596" w:rsidRPr="00266E6B" w:rsidRDefault="00385596" w:rsidP="00A623FF">
      <w:pPr>
        <w:autoSpaceDE w:val="0"/>
        <w:autoSpaceDN w:val="0"/>
        <w:adjustRightInd w:val="0"/>
        <w:jc w:val="both"/>
        <w:rPr>
          <w:rFonts w:ascii="Calibri" w:hAnsi="Calibri" w:cs="Calibri"/>
          <w:kern w:val="0"/>
          <w:sz w:val="22"/>
          <w:szCs w:val="22"/>
        </w:rPr>
      </w:pPr>
    </w:p>
    <w:p w14:paraId="7C7B794E" w14:textId="0DCDBA73" w:rsidR="00A623FF" w:rsidRPr="00266E6B" w:rsidRDefault="00385596" w:rsidP="00A623FF">
      <w:pPr>
        <w:autoSpaceDE w:val="0"/>
        <w:autoSpaceDN w:val="0"/>
        <w:adjustRightInd w:val="0"/>
        <w:jc w:val="both"/>
        <w:rPr>
          <w:rFonts w:ascii="Calibri" w:hAnsi="Calibri" w:cs="Calibri"/>
          <w:iCs/>
          <w:kern w:val="0"/>
          <w:sz w:val="22"/>
          <w:szCs w:val="22"/>
          <w:lang w:val="en"/>
        </w:rPr>
      </w:pPr>
      <w:r w:rsidRPr="00266E6B">
        <w:rPr>
          <w:rFonts w:ascii="Calibri" w:hAnsi="Calibri" w:cs="Calibri"/>
          <w:kern w:val="0"/>
          <w:sz w:val="22"/>
          <w:szCs w:val="22"/>
        </w:rPr>
        <w:t>Hearing children’s views</w:t>
      </w:r>
      <w:r w:rsidR="00A623FF" w:rsidRPr="00266E6B">
        <w:rPr>
          <w:rFonts w:ascii="Calibri" w:hAnsi="Calibri" w:cs="Calibri"/>
          <w:kern w:val="0"/>
          <w:sz w:val="22"/>
          <w:szCs w:val="22"/>
        </w:rPr>
        <w:t xml:space="preserve"> is necessary for compliance with the UNCRC, with </w:t>
      </w:r>
      <w:r w:rsidR="00A623FF" w:rsidRPr="00266E6B">
        <w:rPr>
          <w:rFonts w:ascii="Calibri" w:hAnsi="Calibri" w:cs="Calibri"/>
          <w:kern w:val="0"/>
          <w:sz w:val="22"/>
          <w:szCs w:val="22"/>
          <w:lang w:val="en-US"/>
        </w:rPr>
        <w:t xml:space="preserve">Article 12 establishing the right of children </w:t>
      </w:r>
      <w:r w:rsidR="00A623FF" w:rsidRPr="00266E6B">
        <w:rPr>
          <w:rFonts w:ascii="Calibri" w:hAnsi="Calibri" w:cs="Calibri"/>
          <w:iCs/>
          <w:kern w:val="0"/>
          <w:sz w:val="22"/>
          <w:szCs w:val="22"/>
          <w:lang w:val="en"/>
        </w:rPr>
        <w:t>capable of forming their own views to express those views freely in all matters affecting them, with their views being afforded due weight in accordance with their age and maturity.</w:t>
      </w:r>
      <w:r w:rsidR="00D26483" w:rsidRPr="00266E6B">
        <w:rPr>
          <w:rFonts w:ascii="Calibri" w:hAnsi="Calibri" w:cs="Calibri"/>
          <w:iCs/>
          <w:kern w:val="0"/>
          <w:sz w:val="22"/>
          <w:szCs w:val="22"/>
          <w:lang w:val="en"/>
        </w:rPr>
        <w:t xml:space="preserve"> Attaching greater weight </w:t>
      </w:r>
      <w:r w:rsidR="00C236D2" w:rsidRPr="00266E6B">
        <w:rPr>
          <w:rFonts w:ascii="Calibri" w:hAnsi="Calibri" w:cs="Calibri"/>
          <w:iCs/>
          <w:kern w:val="0"/>
          <w:sz w:val="22"/>
          <w:szCs w:val="22"/>
          <w:lang w:val="en"/>
        </w:rPr>
        <w:t xml:space="preserve">to children’s views </w:t>
      </w:r>
      <w:r w:rsidR="00D26483" w:rsidRPr="00266E6B">
        <w:rPr>
          <w:rFonts w:ascii="Calibri" w:hAnsi="Calibri" w:cs="Calibri"/>
          <w:iCs/>
          <w:kern w:val="0"/>
          <w:sz w:val="22"/>
          <w:szCs w:val="22"/>
          <w:lang w:val="en"/>
        </w:rPr>
        <w:t xml:space="preserve">is in line with the general direction of </w:t>
      </w:r>
      <w:r w:rsidR="004E0CA2" w:rsidRPr="00266E6B">
        <w:rPr>
          <w:rFonts w:ascii="Calibri" w:hAnsi="Calibri" w:cs="Calibri"/>
          <w:iCs/>
          <w:kern w:val="0"/>
          <w:sz w:val="22"/>
          <w:szCs w:val="22"/>
          <w:lang w:val="en"/>
        </w:rPr>
        <w:t xml:space="preserve">travel in </w:t>
      </w:r>
      <w:r w:rsidR="00D26483" w:rsidRPr="00266E6B">
        <w:rPr>
          <w:rFonts w:ascii="Calibri" w:hAnsi="Calibri" w:cs="Calibri"/>
          <w:iCs/>
          <w:kern w:val="0"/>
          <w:sz w:val="22"/>
          <w:szCs w:val="22"/>
          <w:lang w:val="en"/>
        </w:rPr>
        <w:t xml:space="preserve">Scots law, for example the Children (Scotland) Act </w:t>
      </w:r>
      <w:r w:rsidR="00BF278F" w:rsidRPr="00266E6B">
        <w:rPr>
          <w:rFonts w:ascii="Calibri" w:hAnsi="Calibri" w:cs="Calibri"/>
          <w:iCs/>
          <w:kern w:val="0"/>
          <w:sz w:val="22"/>
          <w:szCs w:val="22"/>
          <w:lang w:val="en"/>
        </w:rPr>
        <w:t xml:space="preserve">2020 </w:t>
      </w:r>
      <w:r w:rsidR="004E0CA2" w:rsidRPr="00266E6B">
        <w:rPr>
          <w:rFonts w:ascii="Calibri" w:hAnsi="Calibri" w:cs="Calibri"/>
          <w:iCs/>
          <w:kern w:val="0"/>
          <w:sz w:val="22"/>
          <w:szCs w:val="22"/>
          <w:lang w:val="en"/>
        </w:rPr>
        <w:t xml:space="preserve">will </w:t>
      </w:r>
      <w:r w:rsidR="00BF278F" w:rsidRPr="00266E6B">
        <w:rPr>
          <w:rFonts w:ascii="Calibri" w:hAnsi="Calibri" w:cs="Calibri"/>
          <w:iCs/>
          <w:kern w:val="0"/>
          <w:sz w:val="22"/>
          <w:szCs w:val="22"/>
        </w:rPr>
        <w:t>remove any age-based presumption in relation to children’s ability to give a view</w:t>
      </w:r>
      <w:r w:rsidR="004E0CA2" w:rsidRPr="00266E6B">
        <w:rPr>
          <w:rFonts w:ascii="Calibri" w:hAnsi="Calibri" w:cs="Calibri"/>
          <w:iCs/>
          <w:kern w:val="0"/>
          <w:sz w:val="22"/>
          <w:szCs w:val="22"/>
        </w:rPr>
        <w:t xml:space="preserve"> and recent case law decisions show increased attention being paid to children’s views.</w:t>
      </w:r>
      <w:r w:rsidR="004E0CA2" w:rsidRPr="00266E6B">
        <w:rPr>
          <w:rFonts w:ascii="Calibri" w:hAnsi="Calibri" w:cs="Calibri"/>
          <w:b/>
          <w:bCs/>
          <w:iCs/>
          <w:kern w:val="0"/>
          <w:sz w:val="22"/>
          <w:szCs w:val="22"/>
        </w:rPr>
        <w:t xml:space="preserve"> </w:t>
      </w:r>
      <w:r w:rsidR="004E0CA2" w:rsidRPr="00266E6B">
        <w:rPr>
          <w:rFonts w:ascii="Calibri" w:hAnsi="Calibri" w:cs="Calibri"/>
          <w:iCs/>
          <w:kern w:val="0"/>
          <w:sz w:val="22"/>
          <w:szCs w:val="22"/>
        </w:rPr>
        <w:t xml:space="preserve">It is vital that children’s participation is properly facilitated because </w:t>
      </w:r>
      <w:r w:rsidR="008C4EA3" w:rsidRPr="00266E6B">
        <w:rPr>
          <w:rFonts w:ascii="Calibri" w:hAnsi="Calibri" w:cs="Calibri"/>
          <w:iCs/>
          <w:kern w:val="0"/>
          <w:sz w:val="22"/>
          <w:szCs w:val="22"/>
          <w:lang w:val="en"/>
        </w:rPr>
        <w:t>the evidence shows “</w:t>
      </w:r>
      <w:r w:rsidR="008C4EA3" w:rsidRPr="00266E6B">
        <w:rPr>
          <w:rFonts w:ascii="Calibri" w:hAnsi="Calibri" w:cs="Calibri"/>
          <w:sz w:val="22"/>
          <w:szCs w:val="22"/>
          <w:lang w:val="en-US"/>
        </w:rPr>
        <w:t>there is inherent value in the contributions children make to assessment and decision-making”, including around violence and risk.</w:t>
      </w:r>
      <w:r w:rsidR="008C4EA3" w:rsidRPr="00266E6B">
        <w:rPr>
          <w:rStyle w:val="FootnoteReference"/>
          <w:rFonts w:ascii="Calibri" w:hAnsi="Calibri" w:cs="Calibri"/>
          <w:sz w:val="22"/>
          <w:szCs w:val="22"/>
          <w:lang w:val="en-US"/>
        </w:rPr>
        <w:footnoteReference w:id="25"/>
      </w:r>
      <w:r w:rsidR="004E0CA2" w:rsidRPr="00266E6B">
        <w:rPr>
          <w:rFonts w:ascii="Calibri" w:hAnsi="Calibri" w:cs="Calibri"/>
          <w:iCs/>
          <w:kern w:val="0"/>
          <w:sz w:val="22"/>
          <w:szCs w:val="22"/>
          <w:lang w:val="en"/>
        </w:rPr>
        <w:t xml:space="preserve"> </w:t>
      </w:r>
      <w:r w:rsidR="00A623FF" w:rsidRPr="00266E6B">
        <w:rPr>
          <w:rFonts w:ascii="Calibri" w:hAnsi="Calibri" w:cs="Calibri"/>
          <w:kern w:val="0"/>
          <w:sz w:val="22"/>
          <w:szCs w:val="22"/>
        </w:rPr>
        <w:t>It is also recognised that involving children in decision</w:t>
      </w:r>
      <w:r w:rsidR="00A43737" w:rsidRPr="00266E6B">
        <w:rPr>
          <w:rFonts w:ascii="Calibri" w:hAnsi="Calibri" w:cs="Calibri"/>
          <w:kern w:val="0"/>
          <w:sz w:val="22"/>
          <w:szCs w:val="22"/>
        </w:rPr>
        <w:t>-</w:t>
      </w:r>
      <w:r w:rsidR="00A623FF" w:rsidRPr="00266E6B">
        <w:rPr>
          <w:rFonts w:ascii="Calibri" w:hAnsi="Calibri" w:cs="Calibri"/>
          <w:kern w:val="0"/>
          <w:sz w:val="22"/>
          <w:szCs w:val="22"/>
        </w:rPr>
        <w:t xml:space="preserve">making that affects them </w:t>
      </w:r>
      <w:r w:rsidR="00A623FF" w:rsidRPr="00266E6B">
        <w:rPr>
          <w:rFonts w:ascii="Calibri" w:hAnsi="Calibri" w:cs="Calibri"/>
          <w:sz w:val="22"/>
          <w:szCs w:val="22"/>
        </w:rPr>
        <w:t>enhances their sense of empowerment and self-efficacy.</w:t>
      </w:r>
      <w:r w:rsidR="00A623FF" w:rsidRPr="00266E6B">
        <w:rPr>
          <w:rStyle w:val="FootnoteReference"/>
          <w:rFonts w:ascii="Calibri" w:hAnsi="Calibri" w:cs="Calibri"/>
          <w:sz w:val="22"/>
          <w:szCs w:val="22"/>
        </w:rPr>
        <w:footnoteReference w:id="26"/>
      </w:r>
      <w:r w:rsidR="00A623FF" w:rsidRPr="00266E6B">
        <w:rPr>
          <w:rFonts w:ascii="Calibri" w:hAnsi="Calibri" w:cs="Calibri"/>
          <w:sz w:val="22"/>
          <w:szCs w:val="22"/>
        </w:rPr>
        <w:t xml:space="preserve"> </w:t>
      </w:r>
      <w:r w:rsidR="00A623FF" w:rsidRPr="00266E6B">
        <w:rPr>
          <w:rFonts w:ascii="Calibri" w:hAnsi="Calibri" w:cs="Calibri"/>
          <w:kern w:val="0"/>
          <w:sz w:val="22"/>
          <w:szCs w:val="22"/>
        </w:rPr>
        <w:t>W</w:t>
      </w:r>
      <w:r w:rsidR="00A623FF" w:rsidRPr="00266E6B">
        <w:rPr>
          <w:rFonts w:ascii="Calibri" w:hAnsi="Calibri" w:cs="Calibri"/>
          <w:sz w:val="22"/>
          <w:szCs w:val="22"/>
        </w:rPr>
        <w:t>e would like to emphasise that children’s views need to be heard separately. As we noted above, domestic abuse is not a uniform experience. As others have pointed out adults, including parents and carers, do not always represent children’s interests sufficiently</w:t>
      </w:r>
      <w:r w:rsidR="00A43737" w:rsidRPr="00266E6B">
        <w:rPr>
          <w:rFonts w:ascii="Calibri" w:hAnsi="Calibri" w:cs="Calibri"/>
          <w:sz w:val="22"/>
          <w:szCs w:val="22"/>
        </w:rPr>
        <w:t>:</w:t>
      </w:r>
      <w:r w:rsidR="006C41EC" w:rsidRPr="00266E6B">
        <w:rPr>
          <w:rStyle w:val="FootnoteReference"/>
          <w:rFonts w:ascii="Calibri" w:hAnsi="Calibri" w:cs="Calibri"/>
          <w:sz w:val="22"/>
          <w:szCs w:val="22"/>
        </w:rPr>
        <w:footnoteReference w:id="27"/>
      </w:r>
      <w:r w:rsidR="00A623FF" w:rsidRPr="00266E6B">
        <w:rPr>
          <w:rFonts w:ascii="Calibri" w:hAnsi="Calibri" w:cs="Calibri"/>
          <w:sz w:val="22"/>
          <w:szCs w:val="22"/>
        </w:rPr>
        <w:t xml:space="preserve"> “</w:t>
      </w:r>
      <w:r w:rsidR="00A623FF" w:rsidRPr="00266E6B">
        <w:rPr>
          <w:rFonts w:ascii="Calibri" w:hAnsi="Calibri" w:cs="Calibri"/>
          <w:iCs/>
          <w:kern w:val="0"/>
          <w:sz w:val="22"/>
          <w:szCs w:val="22"/>
          <w:lang w:val="en"/>
        </w:rPr>
        <w:t>the experiences, needs and interests of children do not necessarily coincide with those of their parents and so need to be heard separately”.</w:t>
      </w:r>
      <w:r w:rsidR="00A623FF" w:rsidRPr="00266E6B">
        <w:rPr>
          <w:rStyle w:val="FootnoteReference"/>
          <w:rFonts w:ascii="Calibri" w:hAnsi="Calibri" w:cs="Calibri"/>
          <w:iCs/>
          <w:kern w:val="0"/>
          <w:sz w:val="22"/>
          <w:szCs w:val="22"/>
          <w:lang w:val="en"/>
        </w:rPr>
        <w:footnoteReference w:id="28"/>
      </w:r>
      <w:r w:rsidR="00A623FF" w:rsidRPr="00266E6B">
        <w:rPr>
          <w:rFonts w:ascii="Calibri" w:hAnsi="Calibri" w:cs="Calibri"/>
          <w:iCs/>
          <w:kern w:val="0"/>
          <w:sz w:val="22"/>
          <w:szCs w:val="22"/>
          <w:lang w:val="en"/>
        </w:rPr>
        <w:t xml:space="preserve"> </w:t>
      </w:r>
    </w:p>
    <w:p w14:paraId="74C4AA24" w14:textId="77777777" w:rsidR="00B63B9E" w:rsidRPr="00266E6B" w:rsidRDefault="00B63B9E" w:rsidP="00F616C4">
      <w:pPr>
        <w:autoSpaceDE w:val="0"/>
        <w:autoSpaceDN w:val="0"/>
        <w:adjustRightInd w:val="0"/>
        <w:rPr>
          <w:rFonts w:ascii="Calibri" w:hAnsi="Calibri" w:cs="Calibri"/>
          <w:b/>
          <w:bCs/>
          <w:i/>
          <w:iCs/>
          <w:kern w:val="0"/>
          <w:sz w:val="22"/>
          <w:szCs w:val="22"/>
        </w:rPr>
      </w:pPr>
    </w:p>
    <w:p w14:paraId="32A2C543" w14:textId="48C14361" w:rsidR="00F616C4" w:rsidRPr="00266E6B" w:rsidRDefault="00F616C4" w:rsidP="00266E6B">
      <w:pPr>
        <w:autoSpaceDE w:val="0"/>
        <w:autoSpaceDN w:val="0"/>
        <w:adjustRightInd w:val="0"/>
        <w:ind w:firstLine="720"/>
        <w:rPr>
          <w:rFonts w:ascii="Calibri" w:hAnsi="Calibri" w:cs="Calibri"/>
          <w:b/>
          <w:bCs/>
          <w:i/>
          <w:iCs/>
          <w:kern w:val="0"/>
          <w:sz w:val="22"/>
          <w:szCs w:val="22"/>
        </w:rPr>
      </w:pPr>
      <w:r w:rsidRPr="00266E6B">
        <w:rPr>
          <w:rFonts w:ascii="Calibri" w:hAnsi="Calibri" w:cs="Calibri"/>
          <w:b/>
          <w:bCs/>
          <w:i/>
          <w:iCs/>
          <w:kern w:val="0"/>
          <w:sz w:val="22"/>
          <w:szCs w:val="22"/>
        </w:rPr>
        <w:t>(b) If sought by the adjoined victim/survivor themselves, where they</w:t>
      </w:r>
      <w:r w:rsidR="00A4737C" w:rsidRPr="00266E6B">
        <w:rPr>
          <w:rFonts w:ascii="Calibri" w:hAnsi="Calibri" w:cs="Calibri"/>
          <w:b/>
          <w:bCs/>
          <w:i/>
          <w:iCs/>
          <w:kern w:val="0"/>
          <w:sz w:val="22"/>
          <w:szCs w:val="22"/>
        </w:rPr>
        <w:t xml:space="preserve"> </w:t>
      </w:r>
      <w:r w:rsidRPr="00266E6B">
        <w:rPr>
          <w:rFonts w:ascii="Calibri" w:hAnsi="Calibri" w:cs="Calibri"/>
          <w:b/>
          <w:bCs/>
          <w:i/>
          <w:iCs/>
          <w:kern w:val="0"/>
          <w:sz w:val="22"/>
          <w:szCs w:val="22"/>
        </w:rPr>
        <w:t xml:space="preserve">have </w:t>
      </w:r>
      <w:proofErr w:type="gramStart"/>
      <w:r w:rsidRPr="00266E6B">
        <w:rPr>
          <w:rFonts w:ascii="Calibri" w:hAnsi="Calibri" w:cs="Calibri"/>
          <w:b/>
          <w:bCs/>
          <w:i/>
          <w:iCs/>
          <w:kern w:val="0"/>
          <w:sz w:val="22"/>
          <w:szCs w:val="22"/>
        </w:rPr>
        <w:t>capacity;</w:t>
      </w:r>
      <w:proofErr w:type="gramEnd"/>
    </w:p>
    <w:p w14:paraId="51DF5919" w14:textId="77777777" w:rsidR="00F616C4" w:rsidRPr="00266E6B" w:rsidRDefault="00F616C4" w:rsidP="00F616C4">
      <w:pPr>
        <w:autoSpaceDE w:val="0"/>
        <w:autoSpaceDN w:val="0"/>
        <w:adjustRightInd w:val="0"/>
        <w:rPr>
          <w:rFonts w:ascii="Calibri" w:hAnsi="Calibri" w:cs="Calibri"/>
          <w:b/>
          <w:bCs/>
          <w:i/>
          <w:iCs/>
          <w:kern w:val="0"/>
          <w:sz w:val="22"/>
          <w:szCs w:val="22"/>
          <w:u w:val="single"/>
        </w:rPr>
      </w:pPr>
    </w:p>
    <w:p w14:paraId="166D3B0B" w14:textId="29F2CAA1" w:rsidR="00835A29" w:rsidRPr="00266E6B" w:rsidRDefault="002C114A" w:rsidP="00AB018A">
      <w:pPr>
        <w:autoSpaceDE w:val="0"/>
        <w:autoSpaceDN w:val="0"/>
        <w:adjustRightInd w:val="0"/>
        <w:jc w:val="both"/>
        <w:rPr>
          <w:rFonts w:ascii="Calibri" w:hAnsi="Calibri" w:cs="Calibri"/>
          <w:kern w:val="0"/>
          <w:sz w:val="22"/>
          <w:szCs w:val="22"/>
        </w:rPr>
      </w:pPr>
      <w:r w:rsidRPr="00266E6B">
        <w:rPr>
          <w:rFonts w:ascii="Calibri" w:hAnsi="Calibri" w:cs="Calibri"/>
          <w:kern w:val="0"/>
          <w:sz w:val="22"/>
          <w:szCs w:val="22"/>
        </w:rPr>
        <w:lastRenderedPageBreak/>
        <w:t xml:space="preserve">Yes, we consider a civil protection order should be available for a child who is an adjoined victim/survivor </w:t>
      </w:r>
      <w:r w:rsidR="00C64030" w:rsidRPr="00266E6B">
        <w:rPr>
          <w:rFonts w:ascii="Calibri" w:hAnsi="Calibri" w:cs="Calibri"/>
          <w:kern w:val="0"/>
          <w:sz w:val="22"/>
          <w:szCs w:val="22"/>
        </w:rPr>
        <w:t>where</w:t>
      </w:r>
      <w:r w:rsidRPr="00266E6B">
        <w:rPr>
          <w:rFonts w:ascii="Calibri" w:hAnsi="Calibri" w:cs="Calibri"/>
          <w:kern w:val="0"/>
          <w:sz w:val="22"/>
          <w:szCs w:val="22"/>
        </w:rPr>
        <w:t xml:space="preserve"> </w:t>
      </w:r>
      <w:r w:rsidR="00C64030" w:rsidRPr="00266E6B">
        <w:rPr>
          <w:rFonts w:ascii="Calibri" w:hAnsi="Calibri" w:cs="Calibri"/>
          <w:kern w:val="0"/>
          <w:sz w:val="22"/>
          <w:szCs w:val="22"/>
        </w:rPr>
        <w:t xml:space="preserve">that order is </w:t>
      </w:r>
      <w:r w:rsidRPr="00266E6B">
        <w:rPr>
          <w:rFonts w:ascii="Calibri" w:hAnsi="Calibri" w:cs="Calibri"/>
          <w:kern w:val="0"/>
          <w:sz w:val="22"/>
          <w:szCs w:val="22"/>
        </w:rPr>
        <w:t>sought by them where they have capacity.</w:t>
      </w:r>
      <w:r w:rsidR="00835A29" w:rsidRPr="00266E6B">
        <w:rPr>
          <w:rFonts w:ascii="Calibri" w:hAnsi="Calibri" w:cs="Calibri"/>
          <w:kern w:val="0"/>
          <w:sz w:val="22"/>
          <w:szCs w:val="22"/>
        </w:rPr>
        <w:t xml:space="preserve"> As we emphasised earlier while recognising children as adjoined victims has significant symbolic value, it is essential that this legislative recognition comes with </w:t>
      </w:r>
      <w:r w:rsidR="00835A29" w:rsidRPr="00266E6B">
        <w:rPr>
          <w:rFonts w:ascii="Calibri" w:hAnsi="Calibri" w:cs="Calibri"/>
          <w:sz w:val="22"/>
          <w:szCs w:val="22"/>
        </w:rPr>
        <w:t xml:space="preserve">meaningful legal consequences and protections. </w:t>
      </w:r>
    </w:p>
    <w:p w14:paraId="6EBC060F" w14:textId="77777777" w:rsidR="0019022D" w:rsidRPr="00266E6B" w:rsidRDefault="0019022D" w:rsidP="00AB018A">
      <w:pPr>
        <w:autoSpaceDE w:val="0"/>
        <w:autoSpaceDN w:val="0"/>
        <w:adjustRightInd w:val="0"/>
        <w:jc w:val="both"/>
        <w:rPr>
          <w:rFonts w:ascii="Calibri" w:hAnsi="Calibri" w:cs="Calibri"/>
          <w:kern w:val="0"/>
          <w:sz w:val="22"/>
          <w:szCs w:val="22"/>
        </w:rPr>
      </w:pPr>
    </w:p>
    <w:p w14:paraId="43C138F3" w14:textId="0187228F" w:rsidR="00695CC2" w:rsidRPr="00266E6B" w:rsidRDefault="002C114A" w:rsidP="00AB018A">
      <w:pPr>
        <w:autoSpaceDE w:val="0"/>
        <w:autoSpaceDN w:val="0"/>
        <w:adjustRightInd w:val="0"/>
        <w:jc w:val="both"/>
        <w:rPr>
          <w:rFonts w:ascii="Calibri" w:hAnsi="Calibri" w:cs="Calibri"/>
          <w:kern w:val="0"/>
          <w:sz w:val="22"/>
          <w:szCs w:val="22"/>
        </w:rPr>
      </w:pPr>
      <w:r w:rsidRPr="00266E6B">
        <w:rPr>
          <w:rFonts w:ascii="Calibri" w:hAnsi="Calibri" w:cs="Calibri"/>
          <w:kern w:val="0"/>
          <w:sz w:val="22"/>
          <w:szCs w:val="22"/>
        </w:rPr>
        <w:t>In our 2022 article</w:t>
      </w:r>
      <w:r w:rsidR="00835A29" w:rsidRPr="00266E6B">
        <w:rPr>
          <w:rFonts w:ascii="Calibri" w:hAnsi="Calibri" w:cs="Calibri"/>
          <w:kern w:val="0"/>
          <w:sz w:val="22"/>
          <w:szCs w:val="22"/>
        </w:rPr>
        <w:t>,</w:t>
      </w:r>
      <w:r w:rsidRPr="00266E6B">
        <w:rPr>
          <w:rFonts w:ascii="Calibri" w:hAnsi="Calibri" w:cs="Calibri"/>
          <w:kern w:val="0"/>
          <w:sz w:val="22"/>
          <w:szCs w:val="22"/>
        </w:rPr>
        <w:t xml:space="preserve"> we argued that reconceptualising children as </w:t>
      </w:r>
      <w:r w:rsidR="00706096" w:rsidRPr="00266E6B">
        <w:rPr>
          <w:rFonts w:ascii="Calibri" w:hAnsi="Calibri" w:cs="Calibri"/>
          <w:kern w:val="0"/>
          <w:sz w:val="22"/>
          <w:szCs w:val="22"/>
        </w:rPr>
        <w:t>‘</w:t>
      </w:r>
      <w:r w:rsidRPr="00266E6B">
        <w:rPr>
          <w:rFonts w:ascii="Calibri" w:hAnsi="Calibri" w:cs="Calibri"/>
          <w:kern w:val="0"/>
          <w:sz w:val="22"/>
          <w:szCs w:val="22"/>
        </w:rPr>
        <w:t>adjoined victim</w:t>
      </w:r>
      <w:r w:rsidR="00706096" w:rsidRPr="00266E6B">
        <w:rPr>
          <w:rFonts w:ascii="Calibri" w:hAnsi="Calibri" w:cs="Calibri"/>
          <w:kern w:val="0"/>
          <w:sz w:val="22"/>
          <w:szCs w:val="22"/>
        </w:rPr>
        <w:t>s’</w:t>
      </w:r>
      <w:r w:rsidRPr="00266E6B">
        <w:rPr>
          <w:rFonts w:ascii="Calibri" w:hAnsi="Calibri" w:cs="Calibri"/>
          <w:kern w:val="0"/>
          <w:sz w:val="22"/>
          <w:szCs w:val="22"/>
        </w:rPr>
        <w:t xml:space="preserve"> of </w:t>
      </w:r>
      <w:r w:rsidR="00706096" w:rsidRPr="00266E6B">
        <w:rPr>
          <w:rFonts w:ascii="Calibri" w:hAnsi="Calibri" w:cs="Calibri"/>
          <w:kern w:val="0"/>
          <w:sz w:val="22"/>
          <w:szCs w:val="22"/>
        </w:rPr>
        <w:t>intimate</w:t>
      </w:r>
      <w:r w:rsidRPr="00266E6B">
        <w:rPr>
          <w:rFonts w:ascii="Calibri" w:hAnsi="Calibri" w:cs="Calibri"/>
          <w:kern w:val="0"/>
          <w:sz w:val="22"/>
          <w:szCs w:val="22"/>
        </w:rPr>
        <w:t xml:space="preserve"> partner domestic abuse in their living environments </w:t>
      </w:r>
      <w:r w:rsidR="00706096" w:rsidRPr="00266E6B">
        <w:rPr>
          <w:rFonts w:ascii="Calibri" w:hAnsi="Calibri" w:cs="Calibri"/>
          <w:kern w:val="0"/>
          <w:sz w:val="22"/>
          <w:szCs w:val="22"/>
        </w:rPr>
        <w:t xml:space="preserve">would disrupt the traditional adult minimisation of the impact of domestic abuse on children and </w:t>
      </w:r>
      <w:r w:rsidR="00835A29" w:rsidRPr="00266E6B">
        <w:rPr>
          <w:rFonts w:ascii="Calibri" w:hAnsi="Calibri" w:cs="Calibri"/>
          <w:kern w:val="0"/>
          <w:sz w:val="22"/>
          <w:szCs w:val="22"/>
        </w:rPr>
        <w:t>recognise</w:t>
      </w:r>
      <w:r w:rsidRPr="00266E6B">
        <w:rPr>
          <w:rFonts w:ascii="Calibri" w:hAnsi="Calibri" w:cs="Calibri"/>
          <w:kern w:val="0"/>
          <w:sz w:val="22"/>
          <w:szCs w:val="22"/>
        </w:rPr>
        <w:t xml:space="preserve"> children’s</w:t>
      </w:r>
      <w:r w:rsidR="00706096" w:rsidRPr="00266E6B">
        <w:rPr>
          <w:rFonts w:ascii="Calibri" w:hAnsi="Calibri" w:cs="Calibri"/>
          <w:kern w:val="0"/>
          <w:sz w:val="22"/>
          <w:szCs w:val="22"/>
        </w:rPr>
        <w:t xml:space="preserve"> </w:t>
      </w:r>
      <w:r w:rsidRPr="00266E6B">
        <w:rPr>
          <w:rFonts w:ascii="Calibri" w:hAnsi="Calibri" w:cs="Calibri"/>
          <w:kern w:val="0"/>
          <w:sz w:val="22"/>
          <w:szCs w:val="22"/>
        </w:rPr>
        <w:t>agency</w:t>
      </w:r>
      <w:r w:rsidR="00706096" w:rsidRPr="00266E6B">
        <w:rPr>
          <w:rFonts w:ascii="Calibri" w:hAnsi="Calibri" w:cs="Calibri"/>
          <w:kern w:val="0"/>
          <w:sz w:val="22"/>
          <w:szCs w:val="22"/>
        </w:rPr>
        <w:t>.</w:t>
      </w:r>
      <w:r w:rsidR="00835A29" w:rsidRPr="00266E6B">
        <w:rPr>
          <w:rStyle w:val="FootnoteReference"/>
          <w:rFonts w:ascii="Calibri" w:hAnsi="Calibri" w:cs="Calibri"/>
          <w:kern w:val="0"/>
          <w:sz w:val="22"/>
          <w:szCs w:val="22"/>
        </w:rPr>
        <w:footnoteReference w:id="29"/>
      </w:r>
      <w:r w:rsidR="00706096" w:rsidRPr="00266E6B">
        <w:rPr>
          <w:rFonts w:ascii="Calibri" w:hAnsi="Calibri" w:cs="Calibri"/>
          <w:kern w:val="0"/>
          <w:sz w:val="22"/>
          <w:szCs w:val="22"/>
        </w:rPr>
        <w:t xml:space="preserve"> </w:t>
      </w:r>
      <w:r w:rsidR="00C64030" w:rsidRPr="00266E6B">
        <w:rPr>
          <w:rFonts w:ascii="Calibri" w:hAnsi="Calibri" w:cs="Calibri"/>
          <w:kern w:val="0"/>
          <w:sz w:val="22"/>
          <w:szCs w:val="22"/>
        </w:rPr>
        <w:t>As others have identified the law has, traditionally, been ambivalent towards children as legitimate legal subjects</w:t>
      </w:r>
      <w:r w:rsidR="00B86E88" w:rsidRPr="00266E6B">
        <w:rPr>
          <w:rFonts w:ascii="Calibri" w:hAnsi="Calibri" w:cs="Calibri"/>
          <w:kern w:val="0"/>
          <w:sz w:val="22"/>
          <w:szCs w:val="22"/>
        </w:rPr>
        <w:t>;</w:t>
      </w:r>
      <w:r w:rsidR="00BF483B" w:rsidRPr="00266E6B">
        <w:rPr>
          <w:rStyle w:val="FootnoteReference"/>
          <w:rFonts w:ascii="Calibri" w:hAnsi="Calibri" w:cs="Calibri"/>
          <w:kern w:val="0"/>
          <w:sz w:val="22"/>
          <w:szCs w:val="22"/>
        </w:rPr>
        <w:footnoteReference w:id="30"/>
      </w:r>
      <w:r w:rsidR="00B86E88" w:rsidRPr="00266E6B">
        <w:rPr>
          <w:rFonts w:ascii="Calibri" w:hAnsi="Calibri" w:cs="Calibri"/>
          <w:kern w:val="0"/>
          <w:sz w:val="22"/>
          <w:szCs w:val="22"/>
        </w:rPr>
        <w:t xml:space="preserve"> </w:t>
      </w:r>
      <w:r w:rsidR="00C64030" w:rsidRPr="00266E6B">
        <w:rPr>
          <w:rFonts w:ascii="Calibri" w:hAnsi="Calibri" w:cs="Calibri"/>
          <w:kern w:val="0"/>
          <w:sz w:val="22"/>
          <w:szCs w:val="22"/>
        </w:rPr>
        <w:t xml:space="preserve">and indeed, the treatment of children as objects rather than subjects has continued to be a core </w:t>
      </w:r>
      <w:r w:rsidR="00B86E88" w:rsidRPr="00266E6B">
        <w:rPr>
          <w:rFonts w:ascii="Calibri" w:hAnsi="Calibri" w:cs="Calibri"/>
          <w:kern w:val="0"/>
          <w:sz w:val="22"/>
          <w:szCs w:val="22"/>
        </w:rPr>
        <w:t>problem with the</w:t>
      </w:r>
      <w:r w:rsidR="00C64030" w:rsidRPr="00266E6B">
        <w:rPr>
          <w:rFonts w:ascii="Calibri" w:hAnsi="Calibri" w:cs="Calibri"/>
          <w:kern w:val="0"/>
          <w:sz w:val="22"/>
          <w:szCs w:val="22"/>
        </w:rPr>
        <w:t xml:space="preserve"> civil law responses to domestic abuse</w:t>
      </w:r>
      <w:r w:rsidR="006836AD" w:rsidRPr="00266E6B">
        <w:rPr>
          <w:rFonts w:ascii="Calibri" w:hAnsi="Calibri" w:cs="Calibri"/>
          <w:kern w:val="0"/>
          <w:sz w:val="22"/>
          <w:szCs w:val="22"/>
        </w:rPr>
        <w:t>.</w:t>
      </w:r>
      <w:r w:rsidR="00BF483B" w:rsidRPr="00266E6B">
        <w:rPr>
          <w:rStyle w:val="FootnoteReference"/>
          <w:rFonts w:ascii="Calibri" w:hAnsi="Calibri" w:cs="Calibri"/>
          <w:kern w:val="0"/>
          <w:sz w:val="22"/>
          <w:szCs w:val="22"/>
        </w:rPr>
        <w:footnoteReference w:id="31"/>
      </w:r>
      <w:r w:rsidR="00BF483B" w:rsidRPr="00266E6B">
        <w:rPr>
          <w:rFonts w:ascii="Calibri" w:hAnsi="Calibri" w:cs="Calibri"/>
          <w:kern w:val="0"/>
          <w:sz w:val="22"/>
          <w:szCs w:val="22"/>
        </w:rPr>
        <w:t xml:space="preserve"> </w:t>
      </w:r>
      <w:r w:rsidR="00C64030" w:rsidRPr="00266E6B">
        <w:rPr>
          <w:rFonts w:ascii="Calibri" w:hAnsi="Calibri" w:cs="Calibri"/>
          <w:kern w:val="0"/>
          <w:sz w:val="22"/>
          <w:szCs w:val="22"/>
        </w:rPr>
        <w:t>We consider that</w:t>
      </w:r>
      <w:r w:rsidR="00706096" w:rsidRPr="00266E6B">
        <w:rPr>
          <w:rFonts w:ascii="Calibri" w:hAnsi="Calibri" w:cs="Calibri"/>
          <w:kern w:val="0"/>
          <w:sz w:val="22"/>
          <w:szCs w:val="22"/>
        </w:rPr>
        <w:t xml:space="preserve"> “</w:t>
      </w:r>
      <w:r w:rsidR="001F4326" w:rsidRPr="00266E6B">
        <w:rPr>
          <w:rFonts w:ascii="Calibri" w:hAnsi="Calibri" w:cs="Calibri"/>
          <w:kern w:val="0"/>
          <w:sz w:val="22"/>
          <w:szCs w:val="22"/>
        </w:rPr>
        <w:t>[r]</w:t>
      </w:r>
      <w:proofErr w:type="spellStart"/>
      <w:r w:rsidR="00706096" w:rsidRPr="00266E6B">
        <w:rPr>
          <w:rFonts w:ascii="Calibri" w:hAnsi="Calibri" w:cs="Calibri"/>
          <w:kern w:val="0"/>
          <w:sz w:val="22"/>
          <w:szCs w:val="22"/>
        </w:rPr>
        <w:t>ecognising</w:t>
      </w:r>
      <w:proofErr w:type="spellEnd"/>
      <w:r w:rsidR="00706096" w:rsidRPr="00266E6B">
        <w:rPr>
          <w:rFonts w:ascii="Calibri" w:hAnsi="Calibri" w:cs="Calibri"/>
          <w:kern w:val="0"/>
          <w:sz w:val="22"/>
          <w:szCs w:val="22"/>
        </w:rPr>
        <w:t xml:space="preserve"> children as adjoined victims would validate their experiences of harm and assign them proper legal subjecthood”</w:t>
      </w:r>
      <w:r w:rsidR="00B86E88" w:rsidRPr="00266E6B">
        <w:rPr>
          <w:rFonts w:ascii="Calibri" w:hAnsi="Calibri" w:cs="Calibri"/>
          <w:kern w:val="0"/>
          <w:sz w:val="22"/>
          <w:szCs w:val="22"/>
        </w:rPr>
        <w:t>.</w:t>
      </w:r>
      <w:r w:rsidR="00B86E88" w:rsidRPr="00266E6B">
        <w:rPr>
          <w:rStyle w:val="FootnoteReference"/>
          <w:rFonts w:ascii="Calibri" w:hAnsi="Calibri" w:cs="Calibri"/>
          <w:kern w:val="0"/>
          <w:sz w:val="22"/>
          <w:szCs w:val="22"/>
        </w:rPr>
        <w:footnoteReference w:id="32"/>
      </w:r>
    </w:p>
    <w:p w14:paraId="02C62382" w14:textId="77777777" w:rsidR="00835A29" w:rsidRPr="00266E6B" w:rsidRDefault="00835A29" w:rsidP="00AB018A">
      <w:pPr>
        <w:autoSpaceDE w:val="0"/>
        <w:autoSpaceDN w:val="0"/>
        <w:adjustRightInd w:val="0"/>
        <w:jc w:val="both"/>
        <w:rPr>
          <w:rFonts w:ascii="Calibri" w:hAnsi="Calibri" w:cs="Calibri"/>
          <w:kern w:val="0"/>
          <w:sz w:val="22"/>
          <w:szCs w:val="22"/>
        </w:rPr>
      </w:pPr>
    </w:p>
    <w:p w14:paraId="72435B5B" w14:textId="293F6760" w:rsidR="00835A29" w:rsidRPr="00266E6B" w:rsidRDefault="00263648" w:rsidP="00AB018A">
      <w:pPr>
        <w:autoSpaceDE w:val="0"/>
        <w:autoSpaceDN w:val="0"/>
        <w:adjustRightInd w:val="0"/>
        <w:jc w:val="both"/>
        <w:rPr>
          <w:rFonts w:ascii="Calibri" w:hAnsi="Calibri" w:cs="Calibri"/>
          <w:kern w:val="0"/>
          <w:sz w:val="22"/>
          <w:szCs w:val="22"/>
        </w:rPr>
      </w:pPr>
      <w:r w:rsidRPr="00266E6B">
        <w:rPr>
          <w:rFonts w:ascii="Calibri" w:hAnsi="Calibri" w:cs="Calibri"/>
          <w:kern w:val="0"/>
          <w:sz w:val="22"/>
          <w:szCs w:val="22"/>
        </w:rPr>
        <w:t xml:space="preserve">We support the SLC’s proposal because it recognises the child’s agency in a situation where they are in an environment where there is a domestic abuse. </w:t>
      </w:r>
      <w:r w:rsidR="00835A29" w:rsidRPr="00266E6B">
        <w:rPr>
          <w:rFonts w:ascii="Calibri" w:hAnsi="Calibri" w:cs="Calibri"/>
          <w:kern w:val="0"/>
          <w:sz w:val="22"/>
          <w:szCs w:val="22"/>
        </w:rPr>
        <w:t xml:space="preserve">We </w:t>
      </w:r>
      <w:r w:rsidRPr="00266E6B">
        <w:rPr>
          <w:rFonts w:ascii="Calibri" w:hAnsi="Calibri" w:cs="Calibri"/>
          <w:kern w:val="0"/>
          <w:sz w:val="22"/>
          <w:szCs w:val="22"/>
        </w:rPr>
        <w:t>agree with</w:t>
      </w:r>
      <w:r w:rsidR="00835A29" w:rsidRPr="00266E6B">
        <w:rPr>
          <w:rFonts w:ascii="Calibri" w:hAnsi="Calibri" w:cs="Calibri"/>
          <w:kern w:val="0"/>
          <w:sz w:val="22"/>
          <w:szCs w:val="22"/>
        </w:rPr>
        <w:t xml:space="preserve"> the SLC’s statement in the Discussion Paper that, “Enabling a child to seek a civil remedy would recognise the capacity and autonomy of the child and would respect their rights under the UNCRC. A number of those with whom we have engaged during this project have emphasised how important this is to children, to be able to take control.” </w:t>
      </w:r>
    </w:p>
    <w:p w14:paraId="096B3E58" w14:textId="77777777" w:rsidR="00835A29" w:rsidRPr="00266E6B" w:rsidRDefault="00835A29" w:rsidP="00AB018A">
      <w:pPr>
        <w:autoSpaceDE w:val="0"/>
        <w:autoSpaceDN w:val="0"/>
        <w:adjustRightInd w:val="0"/>
        <w:jc w:val="both"/>
        <w:rPr>
          <w:rFonts w:ascii="Calibri" w:hAnsi="Calibri" w:cs="Calibri"/>
          <w:kern w:val="0"/>
          <w:sz w:val="22"/>
          <w:szCs w:val="22"/>
        </w:rPr>
      </w:pPr>
    </w:p>
    <w:p w14:paraId="78BE1683" w14:textId="40EF62D3" w:rsidR="00695CC2" w:rsidRPr="00266E6B" w:rsidRDefault="00B86E88" w:rsidP="00AB018A">
      <w:pPr>
        <w:autoSpaceDE w:val="0"/>
        <w:autoSpaceDN w:val="0"/>
        <w:adjustRightInd w:val="0"/>
        <w:jc w:val="both"/>
        <w:rPr>
          <w:rFonts w:ascii="Calibri" w:hAnsi="Calibri" w:cs="Calibri"/>
          <w:kern w:val="0"/>
          <w:sz w:val="22"/>
          <w:szCs w:val="22"/>
        </w:rPr>
      </w:pPr>
      <w:r w:rsidRPr="00266E6B">
        <w:rPr>
          <w:rFonts w:ascii="Calibri" w:hAnsi="Calibri" w:cs="Calibri"/>
          <w:kern w:val="0"/>
          <w:sz w:val="22"/>
          <w:szCs w:val="22"/>
        </w:rPr>
        <w:t xml:space="preserve">The SLC will need to </w:t>
      </w:r>
      <w:r w:rsidR="00417B00" w:rsidRPr="00266E6B">
        <w:rPr>
          <w:rFonts w:ascii="Calibri" w:hAnsi="Calibri" w:cs="Calibri"/>
          <w:kern w:val="0"/>
          <w:sz w:val="22"/>
          <w:szCs w:val="22"/>
        </w:rPr>
        <w:t>consider</w:t>
      </w:r>
      <w:r w:rsidR="00AD7455" w:rsidRPr="00266E6B">
        <w:rPr>
          <w:rFonts w:ascii="Calibri" w:hAnsi="Calibri" w:cs="Calibri"/>
          <w:kern w:val="0"/>
          <w:sz w:val="22"/>
          <w:szCs w:val="22"/>
        </w:rPr>
        <w:t xml:space="preserve"> the situation whereby a child wishes to seek a civil protection order</w:t>
      </w:r>
      <w:r w:rsidR="00984772" w:rsidRPr="00266E6B">
        <w:rPr>
          <w:rFonts w:ascii="Calibri" w:hAnsi="Calibri" w:cs="Calibri"/>
          <w:kern w:val="0"/>
          <w:sz w:val="22"/>
          <w:szCs w:val="22"/>
        </w:rPr>
        <w:t>,</w:t>
      </w:r>
      <w:r w:rsidR="00AD7455" w:rsidRPr="00266E6B">
        <w:rPr>
          <w:rFonts w:ascii="Calibri" w:hAnsi="Calibri" w:cs="Calibri"/>
          <w:kern w:val="0"/>
          <w:sz w:val="22"/>
          <w:szCs w:val="22"/>
        </w:rPr>
        <w:t xml:space="preserve"> but the adult victim/survivor of the abuse does not. It is quite plausible that this situation will arise because</w:t>
      </w:r>
      <w:r w:rsidR="00263648" w:rsidRPr="00266E6B">
        <w:rPr>
          <w:rFonts w:ascii="Calibri" w:hAnsi="Calibri" w:cs="Calibri"/>
          <w:kern w:val="0"/>
          <w:sz w:val="22"/>
          <w:szCs w:val="22"/>
        </w:rPr>
        <w:t xml:space="preserve">, </w:t>
      </w:r>
      <w:r w:rsidR="00AD7455" w:rsidRPr="00266E6B">
        <w:rPr>
          <w:rFonts w:ascii="Calibri" w:hAnsi="Calibri" w:cs="Calibri"/>
          <w:kern w:val="0"/>
          <w:sz w:val="22"/>
          <w:szCs w:val="22"/>
        </w:rPr>
        <w:t>as we emphasise</w:t>
      </w:r>
      <w:r w:rsidR="00263648" w:rsidRPr="00266E6B">
        <w:rPr>
          <w:rFonts w:ascii="Calibri" w:hAnsi="Calibri" w:cs="Calibri"/>
          <w:kern w:val="0"/>
          <w:sz w:val="22"/>
          <w:szCs w:val="22"/>
        </w:rPr>
        <w:t>d earlier, the experiences of children and their parent or connected adult will be linked yet different.</w:t>
      </w:r>
    </w:p>
    <w:p w14:paraId="169AE77F" w14:textId="77777777" w:rsidR="00263648" w:rsidRPr="00266E6B" w:rsidRDefault="00263648" w:rsidP="00AB018A">
      <w:pPr>
        <w:autoSpaceDE w:val="0"/>
        <w:autoSpaceDN w:val="0"/>
        <w:adjustRightInd w:val="0"/>
        <w:jc w:val="both"/>
        <w:rPr>
          <w:rFonts w:ascii="Calibri" w:hAnsi="Calibri" w:cs="Calibri"/>
          <w:kern w:val="0"/>
          <w:sz w:val="22"/>
          <w:szCs w:val="22"/>
        </w:rPr>
      </w:pPr>
    </w:p>
    <w:p w14:paraId="62ED9131" w14:textId="7DA22D34" w:rsidR="00F70D20" w:rsidRPr="00266E6B" w:rsidRDefault="00F70D20" w:rsidP="00AB018A">
      <w:pPr>
        <w:autoSpaceDE w:val="0"/>
        <w:autoSpaceDN w:val="0"/>
        <w:adjustRightInd w:val="0"/>
        <w:jc w:val="both"/>
        <w:rPr>
          <w:rFonts w:ascii="Calibri" w:hAnsi="Calibri" w:cs="Calibri"/>
          <w:kern w:val="0"/>
          <w:sz w:val="22"/>
          <w:szCs w:val="22"/>
        </w:rPr>
      </w:pPr>
      <w:r w:rsidRPr="00266E6B">
        <w:rPr>
          <w:rFonts w:ascii="Calibri" w:hAnsi="Calibri" w:cs="Calibri"/>
          <w:kern w:val="0"/>
          <w:sz w:val="22"/>
          <w:szCs w:val="22"/>
        </w:rPr>
        <w:t xml:space="preserve">The decision to </w:t>
      </w:r>
      <w:r w:rsidR="00D25CFB" w:rsidRPr="00266E6B">
        <w:rPr>
          <w:rFonts w:ascii="Calibri" w:hAnsi="Calibri" w:cs="Calibri"/>
          <w:kern w:val="0"/>
          <w:sz w:val="22"/>
          <w:szCs w:val="22"/>
        </w:rPr>
        <w:t>seek</w:t>
      </w:r>
      <w:r w:rsidRPr="00266E6B">
        <w:rPr>
          <w:rFonts w:ascii="Calibri" w:hAnsi="Calibri" w:cs="Calibri"/>
          <w:kern w:val="0"/>
          <w:sz w:val="22"/>
          <w:szCs w:val="22"/>
        </w:rPr>
        <w:t xml:space="preserve"> an order is a </w:t>
      </w:r>
      <w:r w:rsidR="00D25CFB" w:rsidRPr="00266E6B">
        <w:rPr>
          <w:rFonts w:ascii="Calibri" w:hAnsi="Calibri" w:cs="Calibri"/>
          <w:kern w:val="0"/>
          <w:sz w:val="22"/>
          <w:szCs w:val="22"/>
        </w:rPr>
        <w:t>c</w:t>
      </w:r>
      <w:r w:rsidRPr="00266E6B">
        <w:rPr>
          <w:rFonts w:ascii="Calibri" w:hAnsi="Calibri" w:cs="Calibri"/>
          <w:kern w:val="0"/>
          <w:sz w:val="22"/>
          <w:szCs w:val="22"/>
        </w:rPr>
        <w:t xml:space="preserve">omplex one and it is possible that in some situations an adjoined child may wish to seek one </w:t>
      </w:r>
      <w:r w:rsidR="00984772" w:rsidRPr="00266E6B">
        <w:rPr>
          <w:rFonts w:ascii="Calibri" w:hAnsi="Calibri" w:cs="Calibri"/>
          <w:kern w:val="0"/>
          <w:sz w:val="22"/>
          <w:szCs w:val="22"/>
        </w:rPr>
        <w:t xml:space="preserve">where </w:t>
      </w:r>
      <w:r w:rsidRPr="00266E6B">
        <w:rPr>
          <w:rFonts w:ascii="Calibri" w:hAnsi="Calibri" w:cs="Calibri"/>
          <w:kern w:val="0"/>
          <w:sz w:val="22"/>
          <w:szCs w:val="22"/>
        </w:rPr>
        <w:t xml:space="preserve">the adult victim/survivor of the abuse does not because, for example, they fear reprisal or because they do not recognise the behaviour as abusive. </w:t>
      </w:r>
      <w:r w:rsidR="00984772" w:rsidRPr="00266E6B">
        <w:rPr>
          <w:rFonts w:ascii="Calibri" w:hAnsi="Calibri" w:cs="Calibri"/>
          <w:kern w:val="0"/>
          <w:sz w:val="22"/>
          <w:szCs w:val="22"/>
        </w:rPr>
        <w:t>Furthermore, a</w:t>
      </w:r>
      <w:r w:rsidR="00D25CFB" w:rsidRPr="00266E6B">
        <w:rPr>
          <w:rFonts w:ascii="Calibri" w:hAnsi="Calibri" w:cs="Calibri"/>
          <w:kern w:val="0"/>
          <w:sz w:val="22"/>
          <w:szCs w:val="22"/>
        </w:rPr>
        <w:t>s Morrison and Houghton describe, “</w:t>
      </w:r>
      <w:r w:rsidR="00984772" w:rsidRPr="00266E6B">
        <w:rPr>
          <w:rFonts w:ascii="Calibri" w:hAnsi="Calibri" w:cs="Calibri"/>
          <w:kern w:val="0"/>
          <w:sz w:val="22"/>
          <w:szCs w:val="22"/>
        </w:rPr>
        <w:t>[w]</w:t>
      </w:r>
      <w:proofErr w:type="spellStart"/>
      <w:r w:rsidR="00D25CFB" w:rsidRPr="00266E6B">
        <w:rPr>
          <w:rFonts w:ascii="Calibri" w:hAnsi="Calibri" w:cs="Calibri"/>
          <w:kern w:val="0"/>
          <w:sz w:val="22"/>
          <w:szCs w:val="22"/>
        </w:rPr>
        <w:t>hile</w:t>
      </w:r>
      <w:proofErr w:type="spellEnd"/>
      <w:r w:rsidR="00D25CFB" w:rsidRPr="00266E6B">
        <w:rPr>
          <w:rFonts w:ascii="Calibri" w:hAnsi="Calibri" w:cs="Calibri"/>
          <w:kern w:val="0"/>
          <w:sz w:val="22"/>
          <w:szCs w:val="22"/>
        </w:rPr>
        <w:t xml:space="preserve"> women may try and protect children from abuse taking place this is not always possible, and they may underestimate children’s awareness of abuse or the impact it has on children. Not all children want to be supported by their mothers, and not all mothers are able to support their children</w:t>
      </w:r>
      <w:r w:rsidR="00D25CFB" w:rsidRPr="00266E6B">
        <w:rPr>
          <w:rFonts w:ascii="Calibri" w:hAnsi="Calibri" w:cs="Calibri"/>
          <w:i/>
          <w:iCs/>
          <w:kern w:val="0"/>
          <w:sz w:val="22"/>
          <w:szCs w:val="22"/>
        </w:rPr>
        <w:t>”</w:t>
      </w:r>
      <w:r w:rsidR="00EF3C30" w:rsidRPr="00266E6B">
        <w:rPr>
          <w:rFonts w:ascii="Calibri" w:hAnsi="Calibri" w:cs="Calibri"/>
          <w:kern w:val="0"/>
          <w:sz w:val="22"/>
          <w:szCs w:val="22"/>
        </w:rPr>
        <w:t>.</w:t>
      </w:r>
      <w:r w:rsidR="00EF3C30" w:rsidRPr="00266E6B">
        <w:rPr>
          <w:rStyle w:val="FootnoteReference"/>
          <w:rFonts w:ascii="Calibri" w:hAnsi="Calibri" w:cs="Calibri"/>
          <w:kern w:val="0"/>
          <w:sz w:val="22"/>
          <w:szCs w:val="22"/>
        </w:rPr>
        <w:footnoteReference w:id="33"/>
      </w:r>
      <w:r w:rsidR="00EF3C30" w:rsidRPr="00266E6B">
        <w:rPr>
          <w:rFonts w:ascii="Calibri" w:hAnsi="Calibri" w:cs="Calibri"/>
          <w:i/>
          <w:iCs/>
          <w:kern w:val="0"/>
          <w:sz w:val="22"/>
          <w:szCs w:val="22"/>
        </w:rPr>
        <w:t xml:space="preserve"> </w:t>
      </w:r>
      <w:r w:rsidR="00EF3C30" w:rsidRPr="00266E6B">
        <w:rPr>
          <w:rFonts w:ascii="Calibri" w:hAnsi="Calibri" w:cs="Calibri"/>
          <w:kern w:val="0"/>
          <w:sz w:val="22"/>
          <w:szCs w:val="22"/>
        </w:rPr>
        <w:t>While in</w:t>
      </w:r>
      <w:r w:rsidR="00EF3C30" w:rsidRPr="00266E6B">
        <w:rPr>
          <w:rFonts w:ascii="Calibri" w:hAnsi="Calibri" w:cs="Calibri"/>
          <w:i/>
          <w:iCs/>
          <w:kern w:val="0"/>
          <w:sz w:val="22"/>
          <w:szCs w:val="22"/>
        </w:rPr>
        <w:t xml:space="preserve"> </w:t>
      </w:r>
      <w:r w:rsidR="00EF3C30" w:rsidRPr="00266E6B">
        <w:rPr>
          <w:rFonts w:ascii="Calibri" w:hAnsi="Calibri" w:cs="Calibri"/>
          <w:kern w:val="0"/>
          <w:sz w:val="22"/>
          <w:szCs w:val="22"/>
        </w:rPr>
        <w:t>many circumstances a child will develop a closer relationship with the non-abusing adult as way of coping with the abuse, this will not always be the case, and we can therefore envisage circumstances where a child would want or need to apply on their own.</w:t>
      </w:r>
    </w:p>
    <w:p w14:paraId="25EB50D4" w14:textId="77777777" w:rsidR="004F72D6" w:rsidRPr="00266E6B" w:rsidRDefault="004F72D6" w:rsidP="00AB018A">
      <w:pPr>
        <w:autoSpaceDE w:val="0"/>
        <w:autoSpaceDN w:val="0"/>
        <w:adjustRightInd w:val="0"/>
        <w:jc w:val="both"/>
        <w:rPr>
          <w:rFonts w:ascii="Calibri" w:hAnsi="Calibri" w:cs="Calibri"/>
          <w:kern w:val="0"/>
          <w:sz w:val="22"/>
          <w:szCs w:val="22"/>
        </w:rPr>
      </w:pPr>
    </w:p>
    <w:p w14:paraId="047294B4" w14:textId="5C4B2928" w:rsidR="00AD7455" w:rsidRPr="00266E6B" w:rsidRDefault="00417B00" w:rsidP="00AB018A">
      <w:pPr>
        <w:autoSpaceDE w:val="0"/>
        <w:autoSpaceDN w:val="0"/>
        <w:adjustRightInd w:val="0"/>
        <w:jc w:val="both"/>
        <w:rPr>
          <w:rFonts w:ascii="Calibri" w:hAnsi="Calibri" w:cs="Calibri"/>
          <w:kern w:val="0"/>
          <w:sz w:val="22"/>
          <w:szCs w:val="22"/>
        </w:rPr>
      </w:pPr>
      <w:r w:rsidRPr="00266E6B">
        <w:rPr>
          <w:rFonts w:ascii="Calibri" w:hAnsi="Calibri" w:cs="Calibri"/>
          <w:kern w:val="0"/>
          <w:sz w:val="22"/>
          <w:szCs w:val="22"/>
        </w:rPr>
        <w:t>T</w:t>
      </w:r>
      <w:r w:rsidR="00AD7455" w:rsidRPr="00266E6B">
        <w:rPr>
          <w:rFonts w:ascii="Calibri" w:hAnsi="Calibri" w:cs="Calibri"/>
          <w:kern w:val="0"/>
          <w:sz w:val="22"/>
          <w:szCs w:val="22"/>
        </w:rPr>
        <w:t xml:space="preserve">wo types of </w:t>
      </w:r>
      <w:r w:rsidR="00C104BF" w:rsidRPr="00266E6B">
        <w:rPr>
          <w:rFonts w:ascii="Calibri" w:hAnsi="Calibri" w:cs="Calibri"/>
          <w:kern w:val="0"/>
          <w:sz w:val="22"/>
          <w:szCs w:val="22"/>
        </w:rPr>
        <w:t>situations</w:t>
      </w:r>
      <w:r w:rsidRPr="00266E6B">
        <w:rPr>
          <w:rFonts w:ascii="Calibri" w:hAnsi="Calibri" w:cs="Calibri"/>
          <w:kern w:val="0"/>
          <w:sz w:val="22"/>
          <w:szCs w:val="22"/>
        </w:rPr>
        <w:t xml:space="preserve"> might arise</w:t>
      </w:r>
      <w:r w:rsidR="00AD7455" w:rsidRPr="00266E6B">
        <w:rPr>
          <w:rFonts w:ascii="Calibri" w:hAnsi="Calibri" w:cs="Calibri"/>
          <w:kern w:val="0"/>
          <w:sz w:val="22"/>
          <w:szCs w:val="22"/>
        </w:rPr>
        <w:t xml:space="preserve"> a) where the child seeks an order </w:t>
      </w:r>
      <w:r w:rsidR="00EF3C30" w:rsidRPr="00266E6B">
        <w:rPr>
          <w:rFonts w:ascii="Calibri" w:hAnsi="Calibri" w:cs="Calibri"/>
          <w:kern w:val="0"/>
          <w:sz w:val="22"/>
          <w:szCs w:val="22"/>
        </w:rPr>
        <w:t>in circumstances</w:t>
      </w:r>
      <w:r w:rsidR="00746479" w:rsidRPr="00266E6B">
        <w:rPr>
          <w:rFonts w:ascii="Calibri" w:hAnsi="Calibri" w:cs="Calibri"/>
          <w:kern w:val="0"/>
          <w:sz w:val="22"/>
          <w:szCs w:val="22"/>
        </w:rPr>
        <w:t xml:space="preserve"> and the connected</w:t>
      </w:r>
      <w:r w:rsidR="00AD7455" w:rsidRPr="00266E6B">
        <w:rPr>
          <w:rFonts w:ascii="Calibri" w:hAnsi="Calibri" w:cs="Calibri"/>
          <w:kern w:val="0"/>
          <w:sz w:val="22"/>
          <w:szCs w:val="22"/>
        </w:rPr>
        <w:t xml:space="preserve"> adult </w:t>
      </w:r>
      <w:r w:rsidR="00746479" w:rsidRPr="00266E6B">
        <w:rPr>
          <w:rFonts w:ascii="Calibri" w:hAnsi="Calibri" w:cs="Calibri"/>
          <w:kern w:val="0"/>
          <w:sz w:val="22"/>
          <w:szCs w:val="22"/>
        </w:rPr>
        <w:t xml:space="preserve">is </w:t>
      </w:r>
      <w:r w:rsidR="00AD7455" w:rsidRPr="00266E6B">
        <w:rPr>
          <w:rFonts w:ascii="Calibri" w:hAnsi="Calibri" w:cs="Calibri"/>
          <w:kern w:val="0"/>
          <w:sz w:val="22"/>
          <w:szCs w:val="22"/>
        </w:rPr>
        <w:t xml:space="preserve">not opposed </w:t>
      </w:r>
      <w:r w:rsidR="00746479" w:rsidRPr="00266E6B">
        <w:rPr>
          <w:rFonts w:ascii="Calibri" w:hAnsi="Calibri" w:cs="Calibri"/>
          <w:kern w:val="0"/>
          <w:sz w:val="22"/>
          <w:szCs w:val="22"/>
        </w:rPr>
        <w:t>to this;</w:t>
      </w:r>
      <w:r w:rsidR="00AD7455" w:rsidRPr="00266E6B">
        <w:rPr>
          <w:rFonts w:ascii="Calibri" w:hAnsi="Calibri" w:cs="Calibri"/>
          <w:kern w:val="0"/>
          <w:sz w:val="22"/>
          <w:szCs w:val="22"/>
        </w:rPr>
        <w:t xml:space="preserve"> and b) </w:t>
      </w:r>
      <w:r w:rsidR="00746479" w:rsidRPr="00266E6B">
        <w:rPr>
          <w:rFonts w:ascii="Calibri" w:hAnsi="Calibri" w:cs="Calibri"/>
          <w:kern w:val="0"/>
          <w:sz w:val="22"/>
          <w:szCs w:val="22"/>
        </w:rPr>
        <w:t xml:space="preserve">where the child seeks an order in circumstances and the connected adult is opposed to this. One question that will need to be addressed is whether and </w:t>
      </w:r>
      <w:r w:rsidR="00746479" w:rsidRPr="00266E6B">
        <w:rPr>
          <w:rFonts w:ascii="Calibri" w:hAnsi="Calibri" w:cs="Calibri"/>
          <w:kern w:val="0"/>
          <w:sz w:val="22"/>
          <w:szCs w:val="22"/>
        </w:rPr>
        <w:lastRenderedPageBreak/>
        <w:t xml:space="preserve">how the order a child applies for can impact upon the connected adult. And if so, </w:t>
      </w:r>
      <w:r w:rsidR="006B7BBF" w:rsidRPr="00266E6B">
        <w:rPr>
          <w:rFonts w:ascii="Calibri" w:hAnsi="Calibri" w:cs="Calibri"/>
          <w:kern w:val="0"/>
          <w:sz w:val="22"/>
          <w:szCs w:val="22"/>
        </w:rPr>
        <w:t>would the SLC envisage that the</w:t>
      </w:r>
      <w:r w:rsidR="00746479" w:rsidRPr="00266E6B">
        <w:rPr>
          <w:rFonts w:ascii="Calibri" w:hAnsi="Calibri" w:cs="Calibri"/>
          <w:kern w:val="0"/>
          <w:sz w:val="22"/>
          <w:szCs w:val="22"/>
        </w:rPr>
        <w:t xml:space="preserve"> adult </w:t>
      </w:r>
      <w:r w:rsidR="00EB384D" w:rsidRPr="00266E6B">
        <w:rPr>
          <w:rFonts w:ascii="Calibri" w:hAnsi="Calibri" w:cs="Calibri"/>
          <w:kern w:val="0"/>
          <w:sz w:val="22"/>
          <w:szCs w:val="22"/>
        </w:rPr>
        <w:t xml:space="preserve">be </w:t>
      </w:r>
      <w:r w:rsidR="00746479" w:rsidRPr="00266E6B">
        <w:rPr>
          <w:rFonts w:ascii="Calibri" w:hAnsi="Calibri" w:cs="Calibri"/>
          <w:kern w:val="0"/>
          <w:sz w:val="22"/>
          <w:szCs w:val="22"/>
        </w:rPr>
        <w:t>given the opportunity to be heard?</w:t>
      </w:r>
    </w:p>
    <w:p w14:paraId="0D59B322" w14:textId="77777777" w:rsidR="00AD7455" w:rsidRPr="00266E6B" w:rsidRDefault="00AD7455" w:rsidP="00AB018A">
      <w:pPr>
        <w:autoSpaceDE w:val="0"/>
        <w:autoSpaceDN w:val="0"/>
        <w:adjustRightInd w:val="0"/>
        <w:jc w:val="both"/>
        <w:rPr>
          <w:rFonts w:ascii="Calibri" w:hAnsi="Calibri" w:cs="Calibri"/>
          <w:kern w:val="0"/>
          <w:sz w:val="22"/>
          <w:szCs w:val="22"/>
        </w:rPr>
      </w:pPr>
    </w:p>
    <w:p w14:paraId="0838ED79" w14:textId="0BBC44A3" w:rsidR="00746479" w:rsidRPr="00266E6B" w:rsidRDefault="00AD7455" w:rsidP="00AB018A">
      <w:pPr>
        <w:autoSpaceDE w:val="0"/>
        <w:autoSpaceDN w:val="0"/>
        <w:adjustRightInd w:val="0"/>
        <w:jc w:val="both"/>
        <w:rPr>
          <w:rFonts w:ascii="Calibri" w:hAnsi="Calibri" w:cs="Calibri"/>
          <w:kern w:val="0"/>
          <w:sz w:val="22"/>
          <w:szCs w:val="22"/>
        </w:rPr>
      </w:pPr>
      <w:r w:rsidRPr="00266E6B">
        <w:rPr>
          <w:rFonts w:ascii="Calibri" w:hAnsi="Calibri" w:cs="Calibri"/>
          <w:kern w:val="0"/>
          <w:sz w:val="22"/>
          <w:szCs w:val="22"/>
        </w:rPr>
        <w:t xml:space="preserve">Some may question whether </w:t>
      </w:r>
      <w:r w:rsidR="007B4EC4" w:rsidRPr="00266E6B">
        <w:rPr>
          <w:rFonts w:ascii="Calibri" w:hAnsi="Calibri" w:cs="Calibri"/>
          <w:kern w:val="0"/>
          <w:sz w:val="22"/>
          <w:szCs w:val="22"/>
        </w:rPr>
        <w:t>the very notion</w:t>
      </w:r>
      <w:r w:rsidR="00A30041" w:rsidRPr="00266E6B">
        <w:rPr>
          <w:rFonts w:ascii="Calibri" w:hAnsi="Calibri" w:cs="Calibri"/>
          <w:kern w:val="0"/>
          <w:sz w:val="22"/>
          <w:szCs w:val="22"/>
        </w:rPr>
        <w:t xml:space="preserve"> of</w:t>
      </w:r>
      <w:r w:rsidR="007B4EC4" w:rsidRPr="00266E6B">
        <w:rPr>
          <w:rFonts w:ascii="Calibri" w:hAnsi="Calibri" w:cs="Calibri"/>
          <w:kern w:val="0"/>
          <w:sz w:val="22"/>
          <w:szCs w:val="22"/>
        </w:rPr>
        <w:t xml:space="preserve"> </w:t>
      </w:r>
      <w:r w:rsidRPr="00266E6B">
        <w:rPr>
          <w:rFonts w:ascii="Calibri" w:hAnsi="Calibri" w:cs="Calibri"/>
          <w:kern w:val="0"/>
          <w:sz w:val="22"/>
          <w:szCs w:val="22"/>
        </w:rPr>
        <w:t>permitting a child to apply in either of these circumstances</w:t>
      </w:r>
      <w:r w:rsidR="007B4EC4" w:rsidRPr="00266E6B">
        <w:rPr>
          <w:rFonts w:ascii="Calibri" w:hAnsi="Calibri" w:cs="Calibri"/>
          <w:kern w:val="0"/>
          <w:sz w:val="22"/>
          <w:szCs w:val="22"/>
        </w:rPr>
        <w:t xml:space="preserve"> is consistent with </w:t>
      </w:r>
      <w:r w:rsidR="00A30041" w:rsidRPr="00266E6B">
        <w:rPr>
          <w:rFonts w:ascii="Calibri" w:hAnsi="Calibri" w:cs="Calibri"/>
          <w:kern w:val="0"/>
          <w:sz w:val="22"/>
          <w:szCs w:val="22"/>
        </w:rPr>
        <w:t>their status</w:t>
      </w:r>
      <w:r w:rsidR="00746479" w:rsidRPr="00266E6B">
        <w:rPr>
          <w:rFonts w:ascii="Calibri" w:hAnsi="Calibri" w:cs="Calibri"/>
          <w:kern w:val="0"/>
          <w:sz w:val="22"/>
          <w:szCs w:val="22"/>
        </w:rPr>
        <w:t xml:space="preserve"> an </w:t>
      </w:r>
      <w:r w:rsidR="007B4EC4" w:rsidRPr="00266E6B">
        <w:rPr>
          <w:rFonts w:ascii="Calibri" w:hAnsi="Calibri" w:cs="Calibri"/>
          <w:kern w:val="0"/>
          <w:sz w:val="22"/>
          <w:szCs w:val="22"/>
        </w:rPr>
        <w:t>adjoined</w:t>
      </w:r>
      <w:r w:rsidR="00746479" w:rsidRPr="00266E6B">
        <w:rPr>
          <w:rFonts w:ascii="Calibri" w:hAnsi="Calibri" w:cs="Calibri"/>
          <w:kern w:val="0"/>
          <w:sz w:val="22"/>
          <w:szCs w:val="22"/>
        </w:rPr>
        <w:t xml:space="preserve"> victim</w:t>
      </w:r>
      <w:r w:rsidR="00A30041" w:rsidRPr="00266E6B">
        <w:rPr>
          <w:rFonts w:ascii="Calibri" w:hAnsi="Calibri" w:cs="Calibri"/>
          <w:kern w:val="0"/>
          <w:sz w:val="22"/>
          <w:szCs w:val="22"/>
        </w:rPr>
        <w:t xml:space="preserve">, questioning </w:t>
      </w:r>
      <w:r w:rsidR="00746479" w:rsidRPr="00266E6B">
        <w:rPr>
          <w:rFonts w:ascii="Calibri" w:hAnsi="Calibri" w:cs="Calibri"/>
          <w:kern w:val="0"/>
          <w:sz w:val="22"/>
          <w:szCs w:val="22"/>
        </w:rPr>
        <w:t>how the child can</w:t>
      </w:r>
      <w:r w:rsidR="005134C0" w:rsidRPr="00266E6B">
        <w:rPr>
          <w:rFonts w:ascii="Calibri" w:hAnsi="Calibri" w:cs="Calibri"/>
          <w:kern w:val="0"/>
          <w:sz w:val="22"/>
          <w:szCs w:val="22"/>
        </w:rPr>
        <w:t xml:space="preserve"> be an adjoined victim if the adult is not </w:t>
      </w:r>
      <w:r w:rsidR="00417B00" w:rsidRPr="00266E6B">
        <w:rPr>
          <w:rFonts w:ascii="Calibri" w:hAnsi="Calibri" w:cs="Calibri"/>
          <w:kern w:val="0"/>
          <w:sz w:val="22"/>
          <w:szCs w:val="22"/>
        </w:rPr>
        <w:t>seeking an order</w:t>
      </w:r>
      <w:r w:rsidR="005134C0" w:rsidRPr="00266E6B">
        <w:rPr>
          <w:rFonts w:ascii="Calibri" w:hAnsi="Calibri" w:cs="Calibri"/>
          <w:kern w:val="0"/>
          <w:sz w:val="22"/>
          <w:szCs w:val="22"/>
        </w:rPr>
        <w:t xml:space="preserve">. However, we </w:t>
      </w:r>
      <w:r w:rsidR="00A30041" w:rsidRPr="00266E6B">
        <w:rPr>
          <w:rFonts w:ascii="Calibri" w:hAnsi="Calibri" w:cs="Calibri"/>
          <w:kern w:val="0"/>
          <w:sz w:val="22"/>
          <w:szCs w:val="22"/>
        </w:rPr>
        <w:t>consider</w:t>
      </w:r>
      <w:r w:rsidR="005134C0" w:rsidRPr="00266E6B">
        <w:rPr>
          <w:rFonts w:ascii="Calibri" w:hAnsi="Calibri" w:cs="Calibri"/>
          <w:kern w:val="0"/>
          <w:sz w:val="22"/>
          <w:szCs w:val="22"/>
        </w:rPr>
        <w:t xml:space="preserve"> it is </w:t>
      </w:r>
      <w:r w:rsidR="00417B00" w:rsidRPr="00266E6B">
        <w:rPr>
          <w:rFonts w:ascii="Calibri" w:hAnsi="Calibri" w:cs="Calibri"/>
          <w:kern w:val="0"/>
          <w:sz w:val="22"/>
          <w:szCs w:val="22"/>
        </w:rPr>
        <w:t xml:space="preserve">entirely </w:t>
      </w:r>
      <w:r w:rsidR="005134C0" w:rsidRPr="00266E6B">
        <w:rPr>
          <w:rFonts w:ascii="Calibri" w:hAnsi="Calibri" w:cs="Calibri"/>
          <w:kern w:val="0"/>
          <w:sz w:val="22"/>
          <w:szCs w:val="22"/>
        </w:rPr>
        <w:t xml:space="preserve">consistent </w:t>
      </w:r>
      <w:r w:rsidR="00417B00" w:rsidRPr="00266E6B">
        <w:rPr>
          <w:rFonts w:ascii="Calibri" w:hAnsi="Calibri" w:cs="Calibri"/>
          <w:kern w:val="0"/>
          <w:sz w:val="22"/>
          <w:szCs w:val="22"/>
        </w:rPr>
        <w:t>with the adjoined victim concept. The child is still an adjoined victim of intimate partner domestic abuse, irrespective of whether the adult victim wishes action to be taken.</w:t>
      </w:r>
      <w:r w:rsidR="006B7BBF" w:rsidRPr="00266E6B">
        <w:rPr>
          <w:rFonts w:ascii="Calibri" w:hAnsi="Calibri" w:cs="Calibri"/>
          <w:kern w:val="0"/>
          <w:sz w:val="22"/>
          <w:szCs w:val="22"/>
        </w:rPr>
        <w:t xml:space="preserve"> </w:t>
      </w:r>
      <w:r w:rsidR="00874536" w:rsidRPr="00266E6B">
        <w:rPr>
          <w:rFonts w:ascii="Calibri" w:hAnsi="Calibri" w:cs="Calibri"/>
          <w:kern w:val="0"/>
          <w:sz w:val="22"/>
          <w:szCs w:val="22"/>
        </w:rPr>
        <w:t>To</w:t>
      </w:r>
      <w:r w:rsidR="006B7BBF" w:rsidRPr="00266E6B">
        <w:rPr>
          <w:rFonts w:ascii="Calibri" w:hAnsi="Calibri" w:cs="Calibri"/>
          <w:kern w:val="0"/>
          <w:sz w:val="22"/>
          <w:szCs w:val="22"/>
        </w:rPr>
        <w:t xml:space="preserve"> give </w:t>
      </w:r>
      <w:r w:rsidR="00874536" w:rsidRPr="00266E6B">
        <w:rPr>
          <w:rFonts w:ascii="Calibri" w:hAnsi="Calibri" w:cs="Calibri"/>
          <w:kern w:val="0"/>
          <w:sz w:val="22"/>
          <w:szCs w:val="22"/>
        </w:rPr>
        <w:t xml:space="preserve">practical </w:t>
      </w:r>
      <w:r w:rsidR="006B7BBF" w:rsidRPr="00266E6B">
        <w:rPr>
          <w:rFonts w:ascii="Calibri" w:hAnsi="Calibri" w:cs="Calibri"/>
          <w:kern w:val="0"/>
          <w:sz w:val="22"/>
          <w:szCs w:val="22"/>
        </w:rPr>
        <w:t xml:space="preserve">effect to </w:t>
      </w:r>
      <w:r w:rsidR="00DC79EE" w:rsidRPr="00266E6B">
        <w:rPr>
          <w:rFonts w:ascii="Calibri" w:hAnsi="Calibri" w:cs="Calibri"/>
          <w:kern w:val="0"/>
          <w:sz w:val="22"/>
          <w:szCs w:val="22"/>
        </w:rPr>
        <w:t xml:space="preserve">the </w:t>
      </w:r>
      <w:r w:rsidR="006B7BBF" w:rsidRPr="00266E6B">
        <w:rPr>
          <w:rFonts w:ascii="Calibri" w:hAnsi="Calibri" w:cs="Calibri"/>
          <w:kern w:val="0"/>
          <w:sz w:val="22"/>
          <w:szCs w:val="22"/>
        </w:rPr>
        <w:t xml:space="preserve">recognition that </w:t>
      </w:r>
      <w:r w:rsidR="00DC79EE" w:rsidRPr="00266E6B">
        <w:rPr>
          <w:rFonts w:ascii="Calibri" w:hAnsi="Calibri" w:cs="Calibri"/>
          <w:kern w:val="0"/>
          <w:sz w:val="22"/>
          <w:szCs w:val="22"/>
        </w:rPr>
        <w:t xml:space="preserve">intimate partner </w:t>
      </w:r>
      <w:r w:rsidR="006B7BBF" w:rsidRPr="00266E6B">
        <w:rPr>
          <w:rFonts w:ascii="Calibri" w:hAnsi="Calibri" w:cs="Calibri"/>
          <w:kern w:val="0"/>
          <w:sz w:val="22"/>
          <w:szCs w:val="22"/>
        </w:rPr>
        <w:t>domestic abuse is triadic</w:t>
      </w:r>
      <w:r w:rsidR="00DC79EE" w:rsidRPr="00266E6B">
        <w:rPr>
          <w:rFonts w:ascii="Calibri" w:hAnsi="Calibri" w:cs="Calibri"/>
          <w:kern w:val="0"/>
          <w:sz w:val="22"/>
          <w:szCs w:val="22"/>
        </w:rPr>
        <w:t xml:space="preserve"> in nature where a child lives in that environment,</w:t>
      </w:r>
      <w:r w:rsidR="006B7BBF" w:rsidRPr="00266E6B">
        <w:rPr>
          <w:rFonts w:ascii="Calibri" w:hAnsi="Calibri" w:cs="Calibri"/>
          <w:kern w:val="0"/>
          <w:sz w:val="22"/>
          <w:szCs w:val="22"/>
        </w:rPr>
        <w:t xml:space="preserve"> it is vital to </w:t>
      </w:r>
      <w:r w:rsidR="003A4970" w:rsidRPr="00266E6B">
        <w:rPr>
          <w:rFonts w:ascii="Calibri" w:hAnsi="Calibri" w:cs="Calibri"/>
          <w:kern w:val="0"/>
          <w:sz w:val="22"/>
          <w:szCs w:val="22"/>
        </w:rPr>
        <w:t xml:space="preserve">validate </w:t>
      </w:r>
      <w:r w:rsidR="006B7BBF" w:rsidRPr="00266E6B">
        <w:rPr>
          <w:rFonts w:ascii="Calibri" w:hAnsi="Calibri" w:cs="Calibri"/>
          <w:kern w:val="0"/>
          <w:sz w:val="22"/>
          <w:szCs w:val="22"/>
        </w:rPr>
        <w:t>the child</w:t>
      </w:r>
      <w:r w:rsidR="0091782D" w:rsidRPr="00266E6B">
        <w:rPr>
          <w:rFonts w:ascii="Calibri" w:hAnsi="Calibri" w:cs="Calibri"/>
          <w:kern w:val="0"/>
          <w:sz w:val="22"/>
          <w:szCs w:val="22"/>
        </w:rPr>
        <w:t>’s agency</w:t>
      </w:r>
      <w:r w:rsidR="003A4970" w:rsidRPr="00266E6B">
        <w:rPr>
          <w:rFonts w:ascii="Calibri" w:hAnsi="Calibri" w:cs="Calibri"/>
          <w:kern w:val="0"/>
          <w:sz w:val="22"/>
          <w:szCs w:val="22"/>
        </w:rPr>
        <w:t xml:space="preserve"> by allowing them to apply for an order</w:t>
      </w:r>
      <w:r w:rsidR="006B7BBF" w:rsidRPr="00266E6B">
        <w:rPr>
          <w:rFonts w:ascii="Calibri" w:hAnsi="Calibri" w:cs="Calibri"/>
          <w:kern w:val="0"/>
          <w:sz w:val="22"/>
          <w:szCs w:val="22"/>
        </w:rPr>
        <w:t>.</w:t>
      </w:r>
    </w:p>
    <w:p w14:paraId="25455772" w14:textId="77777777" w:rsidR="00DC79EE" w:rsidRPr="00266E6B" w:rsidRDefault="00DC79EE" w:rsidP="00AB018A">
      <w:pPr>
        <w:autoSpaceDE w:val="0"/>
        <w:autoSpaceDN w:val="0"/>
        <w:adjustRightInd w:val="0"/>
        <w:jc w:val="both"/>
        <w:rPr>
          <w:rFonts w:ascii="Calibri" w:hAnsi="Calibri" w:cs="Calibri"/>
          <w:kern w:val="0"/>
          <w:sz w:val="22"/>
          <w:szCs w:val="22"/>
        </w:rPr>
      </w:pPr>
    </w:p>
    <w:p w14:paraId="1A835100" w14:textId="231292B5" w:rsidR="0091782D" w:rsidRPr="00266E6B" w:rsidRDefault="00DC79EE" w:rsidP="00AB018A">
      <w:pPr>
        <w:jc w:val="both"/>
        <w:rPr>
          <w:rFonts w:ascii="Calibri" w:hAnsi="Calibri" w:cs="Calibri"/>
          <w:kern w:val="0"/>
          <w:sz w:val="22"/>
          <w:szCs w:val="22"/>
        </w:rPr>
      </w:pPr>
      <w:r w:rsidRPr="00266E6B">
        <w:rPr>
          <w:rFonts w:ascii="Calibri" w:hAnsi="Calibri" w:cs="Calibri"/>
          <w:kern w:val="0"/>
          <w:sz w:val="22"/>
          <w:szCs w:val="22"/>
        </w:rPr>
        <w:t>The</w:t>
      </w:r>
      <w:r w:rsidR="003A4970" w:rsidRPr="00266E6B">
        <w:rPr>
          <w:rFonts w:ascii="Calibri" w:hAnsi="Calibri" w:cs="Calibri"/>
          <w:kern w:val="0"/>
          <w:sz w:val="22"/>
          <w:szCs w:val="22"/>
        </w:rPr>
        <w:t xml:space="preserve"> Commission in its</w:t>
      </w:r>
      <w:r w:rsidRPr="00266E6B">
        <w:rPr>
          <w:rFonts w:ascii="Calibri" w:hAnsi="Calibri" w:cs="Calibri"/>
          <w:kern w:val="0"/>
          <w:sz w:val="22"/>
          <w:szCs w:val="22"/>
        </w:rPr>
        <w:t xml:space="preserve"> Discussion Paper is clear that it is important that there no requirement on the adult victim/survivor of domestic abuse to pursue action (civil or criminal). This is in line with an approach that recognises protective orders which are imposed without victim consent can have a disempowering effect.  This concern is </w:t>
      </w:r>
      <w:r w:rsidR="003A4970" w:rsidRPr="00266E6B">
        <w:rPr>
          <w:rFonts w:ascii="Calibri" w:hAnsi="Calibri" w:cs="Calibri"/>
          <w:kern w:val="0"/>
          <w:sz w:val="22"/>
          <w:szCs w:val="22"/>
        </w:rPr>
        <w:t>typically raised</w:t>
      </w:r>
      <w:r w:rsidRPr="00266E6B">
        <w:rPr>
          <w:rFonts w:ascii="Calibri" w:hAnsi="Calibri" w:cs="Calibri"/>
          <w:kern w:val="0"/>
          <w:sz w:val="22"/>
          <w:szCs w:val="22"/>
        </w:rPr>
        <w:t xml:space="preserve"> in the context of state-initiated action (e</w:t>
      </w:r>
      <w:r w:rsidR="00642EC9" w:rsidRPr="00266E6B">
        <w:rPr>
          <w:rFonts w:ascii="Calibri" w:hAnsi="Calibri" w:cs="Calibri"/>
          <w:kern w:val="0"/>
          <w:sz w:val="22"/>
          <w:szCs w:val="22"/>
        </w:rPr>
        <w:t>.</w:t>
      </w:r>
      <w:r w:rsidRPr="00266E6B">
        <w:rPr>
          <w:rFonts w:ascii="Calibri" w:hAnsi="Calibri" w:cs="Calibri"/>
          <w:kern w:val="0"/>
          <w:sz w:val="22"/>
          <w:szCs w:val="22"/>
        </w:rPr>
        <w:t>g</w:t>
      </w:r>
      <w:r w:rsidR="00642EC9" w:rsidRPr="00266E6B">
        <w:rPr>
          <w:rFonts w:ascii="Calibri" w:hAnsi="Calibri" w:cs="Calibri"/>
          <w:kern w:val="0"/>
          <w:sz w:val="22"/>
          <w:szCs w:val="22"/>
        </w:rPr>
        <w:t>.</w:t>
      </w:r>
      <w:r w:rsidRPr="00266E6B">
        <w:rPr>
          <w:rFonts w:ascii="Calibri" w:hAnsi="Calibri" w:cs="Calibri"/>
          <w:kern w:val="0"/>
          <w:sz w:val="22"/>
          <w:szCs w:val="22"/>
        </w:rPr>
        <w:t xml:space="preserve"> </w:t>
      </w:r>
      <w:r w:rsidR="003A4970" w:rsidRPr="00266E6B">
        <w:rPr>
          <w:rFonts w:ascii="Calibri" w:hAnsi="Calibri" w:cs="Calibri"/>
          <w:kern w:val="0"/>
          <w:sz w:val="22"/>
          <w:szCs w:val="22"/>
        </w:rPr>
        <w:t xml:space="preserve">prosecution and protection orders </w:t>
      </w:r>
      <w:r w:rsidRPr="00266E6B">
        <w:rPr>
          <w:rFonts w:ascii="Calibri" w:hAnsi="Calibri" w:cs="Calibri"/>
          <w:kern w:val="0"/>
          <w:sz w:val="22"/>
          <w:szCs w:val="22"/>
        </w:rPr>
        <w:t xml:space="preserve">in the criminal sphere). We do not think this concern could be used to deny children the opportunity to </w:t>
      </w:r>
      <w:r w:rsidR="0091782D" w:rsidRPr="00266E6B">
        <w:rPr>
          <w:rFonts w:ascii="Calibri" w:hAnsi="Calibri" w:cs="Calibri"/>
          <w:kern w:val="0"/>
          <w:sz w:val="22"/>
          <w:szCs w:val="22"/>
        </w:rPr>
        <w:t>act</w:t>
      </w:r>
      <w:r w:rsidRPr="00266E6B">
        <w:rPr>
          <w:rFonts w:ascii="Calibri" w:hAnsi="Calibri" w:cs="Calibri"/>
          <w:kern w:val="0"/>
          <w:sz w:val="22"/>
          <w:szCs w:val="22"/>
        </w:rPr>
        <w:t xml:space="preserve"> where they are also living with that experience of domestic abuse</w:t>
      </w:r>
      <w:r w:rsidR="003A4970" w:rsidRPr="00266E6B">
        <w:rPr>
          <w:rFonts w:ascii="Calibri" w:hAnsi="Calibri" w:cs="Calibri"/>
          <w:kern w:val="0"/>
          <w:sz w:val="22"/>
          <w:szCs w:val="22"/>
        </w:rPr>
        <w:t>, because they are also a rights-bearing agent living in that environment</w:t>
      </w:r>
      <w:r w:rsidRPr="00266E6B">
        <w:rPr>
          <w:rFonts w:ascii="Calibri" w:hAnsi="Calibri" w:cs="Calibri"/>
          <w:kern w:val="0"/>
          <w:sz w:val="22"/>
          <w:szCs w:val="22"/>
        </w:rPr>
        <w:t>.</w:t>
      </w:r>
      <w:r w:rsidR="0091782D" w:rsidRPr="00266E6B">
        <w:rPr>
          <w:rFonts w:ascii="Calibri" w:hAnsi="Calibri" w:cs="Calibri"/>
          <w:kern w:val="0"/>
          <w:sz w:val="22"/>
          <w:szCs w:val="22"/>
        </w:rPr>
        <w:t xml:space="preserve"> We are </w:t>
      </w:r>
      <w:r w:rsidR="00642EC9" w:rsidRPr="00266E6B">
        <w:rPr>
          <w:rFonts w:ascii="Calibri" w:hAnsi="Calibri" w:cs="Calibri"/>
          <w:kern w:val="0"/>
          <w:sz w:val="22"/>
          <w:szCs w:val="22"/>
        </w:rPr>
        <w:t xml:space="preserve">of </w:t>
      </w:r>
      <w:r w:rsidR="0091782D" w:rsidRPr="00266E6B">
        <w:rPr>
          <w:rFonts w:ascii="Calibri" w:hAnsi="Calibri" w:cs="Calibri"/>
          <w:kern w:val="0"/>
          <w:sz w:val="22"/>
          <w:szCs w:val="22"/>
        </w:rPr>
        <w:t>the view that the child should be able to apply for an order and have it granted irrespective of the views of the adult victim/survivor, where that order is in the child’s best interests.</w:t>
      </w:r>
    </w:p>
    <w:p w14:paraId="48C567E1" w14:textId="77777777" w:rsidR="0091782D" w:rsidRPr="00266E6B" w:rsidRDefault="0091782D" w:rsidP="00AB018A">
      <w:pPr>
        <w:jc w:val="both"/>
        <w:rPr>
          <w:rFonts w:ascii="Calibri" w:hAnsi="Calibri" w:cs="Calibri"/>
          <w:kern w:val="0"/>
          <w:sz w:val="22"/>
          <w:szCs w:val="22"/>
        </w:rPr>
      </w:pPr>
    </w:p>
    <w:p w14:paraId="1F90B4F0" w14:textId="2E0FF382" w:rsidR="0091782D" w:rsidRPr="00266E6B" w:rsidRDefault="0091782D" w:rsidP="00AB018A">
      <w:pPr>
        <w:jc w:val="both"/>
        <w:rPr>
          <w:rFonts w:ascii="Calibri" w:hAnsi="Calibri" w:cs="Calibri"/>
          <w:kern w:val="0"/>
          <w:sz w:val="22"/>
          <w:szCs w:val="22"/>
        </w:rPr>
      </w:pPr>
      <w:r w:rsidRPr="00266E6B">
        <w:rPr>
          <w:rFonts w:ascii="Calibri" w:hAnsi="Calibri" w:cs="Calibri"/>
          <w:kern w:val="0"/>
          <w:sz w:val="22"/>
          <w:szCs w:val="22"/>
        </w:rPr>
        <w:t xml:space="preserve">Some might point out </w:t>
      </w:r>
      <w:r w:rsidR="009D3C8D" w:rsidRPr="00266E6B">
        <w:rPr>
          <w:rFonts w:ascii="Calibri" w:hAnsi="Calibri" w:cs="Calibri"/>
          <w:kern w:val="0"/>
          <w:sz w:val="22"/>
          <w:szCs w:val="22"/>
        </w:rPr>
        <w:t>this seems different to our</w:t>
      </w:r>
      <w:r w:rsidRPr="00266E6B">
        <w:rPr>
          <w:rFonts w:ascii="Calibri" w:hAnsi="Calibri" w:cs="Calibri"/>
          <w:kern w:val="0"/>
          <w:sz w:val="22"/>
          <w:szCs w:val="22"/>
        </w:rPr>
        <w:t xml:space="preserve"> recommendation for a parallel offence </w:t>
      </w:r>
      <w:r w:rsidR="009D3C8D" w:rsidRPr="00266E6B">
        <w:rPr>
          <w:rFonts w:ascii="Calibri" w:hAnsi="Calibri" w:cs="Calibri"/>
          <w:kern w:val="0"/>
          <w:sz w:val="22"/>
          <w:szCs w:val="22"/>
        </w:rPr>
        <w:t>in the criminal law of ‘abusive behaviour towards partner or ex-partner and adjoined</w:t>
      </w:r>
      <w:r w:rsidR="009D3C8D" w:rsidRPr="00266E6B">
        <w:rPr>
          <w:rFonts w:ascii="Calibri" w:hAnsi="Calibri" w:cs="Calibri"/>
          <w:i/>
          <w:iCs/>
          <w:kern w:val="0"/>
          <w:sz w:val="22"/>
          <w:szCs w:val="22"/>
        </w:rPr>
        <w:t xml:space="preserve"> </w:t>
      </w:r>
      <w:r w:rsidR="009D3C8D" w:rsidRPr="00266E6B">
        <w:rPr>
          <w:rFonts w:ascii="Calibri" w:hAnsi="Calibri" w:cs="Calibri"/>
          <w:kern w:val="0"/>
          <w:sz w:val="22"/>
          <w:szCs w:val="22"/>
        </w:rPr>
        <w:t xml:space="preserve">child’, as that offence could not be used just for a child. However, the </w:t>
      </w:r>
      <w:r w:rsidR="00AB018A" w:rsidRPr="00266E6B">
        <w:rPr>
          <w:rFonts w:ascii="Calibri" w:hAnsi="Calibri" w:cs="Calibri"/>
          <w:kern w:val="0"/>
          <w:sz w:val="22"/>
          <w:szCs w:val="22"/>
        </w:rPr>
        <w:t xml:space="preserve">contexts </w:t>
      </w:r>
      <w:r w:rsidR="009D3C8D" w:rsidRPr="00266E6B">
        <w:rPr>
          <w:rFonts w:ascii="Calibri" w:hAnsi="Calibri" w:cs="Calibri"/>
          <w:kern w:val="0"/>
          <w:sz w:val="22"/>
          <w:szCs w:val="22"/>
        </w:rPr>
        <w:t xml:space="preserve">are </w:t>
      </w:r>
      <w:r w:rsidR="00AB018A" w:rsidRPr="00266E6B">
        <w:rPr>
          <w:rFonts w:ascii="Calibri" w:hAnsi="Calibri" w:cs="Calibri"/>
          <w:kern w:val="0"/>
          <w:sz w:val="22"/>
          <w:szCs w:val="22"/>
        </w:rPr>
        <w:t xml:space="preserve">markedly </w:t>
      </w:r>
      <w:r w:rsidR="009D3C8D" w:rsidRPr="00266E6B">
        <w:rPr>
          <w:rFonts w:ascii="Calibri" w:hAnsi="Calibri" w:cs="Calibri"/>
          <w:kern w:val="0"/>
          <w:sz w:val="22"/>
          <w:szCs w:val="22"/>
        </w:rPr>
        <w:t xml:space="preserve">different. In the context of the criminal law, </w:t>
      </w:r>
      <w:r w:rsidR="00C17B83" w:rsidRPr="00266E6B">
        <w:rPr>
          <w:rFonts w:ascii="Calibri" w:hAnsi="Calibri" w:cs="Calibri"/>
          <w:kern w:val="0"/>
          <w:sz w:val="22"/>
          <w:szCs w:val="22"/>
        </w:rPr>
        <w:t xml:space="preserve">the decision </w:t>
      </w:r>
      <w:r w:rsidR="00642EC9" w:rsidRPr="00266E6B">
        <w:rPr>
          <w:rFonts w:ascii="Calibri" w:hAnsi="Calibri" w:cs="Calibri"/>
          <w:kern w:val="0"/>
          <w:sz w:val="22"/>
          <w:szCs w:val="22"/>
        </w:rPr>
        <w:t>of whether</w:t>
      </w:r>
      <w:r w:rsidR="00C17B83" w:rsidRPr="00266E6B">
        <w:rPr>
          <w:rFonts w:ascii="Calibri" w:hAnsi="Calibri" w:cs="Calibri"/>
          <w:kern w:val="0"/>
          <w:sz w:val="22"/>
          <w:szCs w:val="22"/>
        </w:rPr>
        <w:t xml:space="preserve"> to prosecute does not rest with the victim but with the state (a complex issue itself). It</w:t>
      </w:r>
      <w:r w:rsidR="009D3C8D" w:rsidRPr="00266E6B">
        <w:rPr>
          <w:rFonts w:ascii="Calibri" w:hAnsi="Calibri" w:cs="Calibri"/>
          <w:kern w:val="0"/>
          <w:sz w:val="22"/>
          <w:szCs w:val="22"/>
        </w:rPr>
        <w:t xml:space="preserve"> is </w:t>
      </w:r>
      <w:r w:rsidR="00C17B83" w:rsidRPr="00266E6B">
        <w:rPr>
          <w:rFonts w:ascii="Calibri" w:hAnsi="Calibri" w:cs="Calibri"/>
          <w:kern w:val="0"/>
          <w:sz w:val="22"/>
          <w:szCs w:val="22"/>
        </w:rPr>
        <w:t>almost impossible</w:t>
      </w:r>
      <w:r w:rsidR="009D3C8D" w:rsidRPr="00266E6B">
        <w:rPr>
          <w:rFonts w:ascii="Calibri" w:hAnsi="Calibri" w:cs="Calibri"/>
          <w:kern w:val="0"/>
          <w:sz w:val="22"/>
          <w:szCs w:val="22"/>
        </w:rPr>
        <w:t xml:space="preserve"> to conceive of circumstances where the offender </w:t>
      </w:r>
      <w:r w:rsidR="00C17B83" w:rsidRPr="00266E6B">
        <w:rPr>
          <w:rFonts w:ascii="Calibri" w:hAnsi="Calibri" w:cs="Calibri"/>
          <w:kern w:val="0"/>
          <w:sz w:val="22"/>
          <w:szCs w:val="22"/>
        </w:rPr>
        <w:t>c</w:t>
      </w:r>
      <w:r w:rsidR="009D3C8D" w:rsidRPr="00266E6B">
        <w:rPr>
          <w:rFonts w:ascii="Calibri" w:hAnsi="Calibri" w:cs="Calibri"/>
          <w:kern w:val="0"/>
          <w:sz w:val="22"/>
          <w:szCs w:val="22"/>
        </w:rPr>
        <w:t xml:space="preserve">ould be prosecuted by the state </w:t>
      </w:r>
      <w:r w:rsidR="0006166B" w:rsidRPr="00266E6B">
        <w:rPr>
          <w:rFonts w:ascii="Calibri" w:hAnsi="Calibri" w:cs="Calibri"/>
          <w:kern w:val="0"/>
          <w:sz w:val="22"/>
          <w:szCs w:val="22"/>
        </w:rPr>
        <w:t>for engaging in</w:t>
      </w:r>
      <w:r w:rsidR="009D3C8D" w:rsidRPr="00266E6B">
        <w:rPr>
          <w:rFonts w:ascii="Calibri" w:hAnsi="Calibri" w:cs="Calibri"/>
          <w:kern w:val="0"/>
          <w:sz w:val="22"/>
          <w:szCs w:val="22"/>
        </w:rPr>
        <w:t xml:space="preserve"> intimate partner domestic abuse</w:t>
      </w:r>
      <w:r w:rsidR="0006166B" w:rsidRPr="00266E6B">
        <w:rPr>
          <w:rFonts w:ascii="Calibri" w:hAnsi="Calibri" w:cs="Calibri"/>
          <w:kern w:val="0"/>
          <w:sz w:val="22"/>
          <w:szCs w:val="22"/>
        </w:rPr>
        <w:t xml:space="preserve"> </w:t>
      </w:r>
      <w:r w:rsidR="00C17B83" w:rsidRPr="00266E6B">
        <w:rPr>
          <w:rFonts w:ascii="Calibri" w:hAnsi="Calibri" w:cs="Calibri"/>
          <w:kern w:val="0"/>
          <w:sz w:val="22"/>
          <w:szCs w:val="22"/>
        </w:rPr>
        <w:t>towards the</w:t>
      </w:r>
      <w:r w:rsidR="0006166B" w:rsidRPr="00266E6B">
        <w:rPr>
          <w:rFonts w:ascii="Calibri" w:hAnsi="Calibri" w:cs="Calibri"/>
          <w:kern w:val="0"/>
          <w:sz w:val="22"/>
          <w:szCs w:val="22"/>
        </w:rPr>
        <w:t xml:space="preserve"> adjoined child but not the adult victim themselves, given the obvious criminality involved.</w:t>
      </w:r>
      <w:r w:rsidR="00C17B83" w:rsidRPr="00266E6B">
        <w:rPr>
          <w:rFonts w:ascii="Calibri" w:hAnsi="Calibri" w:cs="Calibri"/>
          <w:kern w:val="0"/>
          <w:sz w:val="22"/>
          <w:szCs w:val="22"/>
        </w:rPr>
        <w:t xml:space="preserve"> If conduct was only directed at a child (and not the intimate partner) this would be prosecuted as a child abuse offence. </w:t>
      </w:r>
      <w:r w:rsidR="001C5BB0" w:rsidRPr="00266E6B">
        <w:rPr>
          <w:rFonts w:ascii="Calibri" w:hAnsi="Calibri" w:cs="Calibri"/>
          <w:kern w:val="0"/>
          <w:sz w:val="22"/>
          <w:szCs w:val="22"/>
        </w:rPr>
        <w:t xml:space="preserve">Therefore, it makes sense in this context that a parallel offence could not be used just for a child. </w:t>
      </w:r>
      <w:r w:rsidR="000D5812" w:rsidRPr="00266E6B">
        <w:rPr>
          <w:rFonts w:ascii="Calibri" w:hAnsi="Calibri" w:cs="Calibri"/>
          <w:kern w:val="0"/>
          <w:sz w:val="22"/>
          <w:szCs w:val="22"/>
        </w:rPr>
        <w:t>By contrast</w:t>
      </w:r>
      <w:r w:rsidR="00642EC9" w:rsidRPr="00266E6B">
        <w:rPr>
          <w:rFonts w:ascii="Calibri" w:hAnsi="Calibri" w:cs="Calibri"/>
          <w:kern w:val="0"/>
          <w:sz w:val="22"/>
          <w:szCs w:val="22"/>
        </w:rPr>
        <w:t>,</w:t>
      </w:r>
      <w:r w:rsidR="000D5812" w:rsidRPr="00266E6B">
        <w:rPr>
          <w:rFonts w:ascii="Calibri" w:hAnsi="Calibri" w:cs="Calibri"/>
          <w:kern w:val="0"/>
          <w:sz w:val="22"/>
          <w:szCs w:val="22"/>
        </w:rPr>
        <w:t xml:space="preserve"> p</w:t>
      </w:r>
      <w:r w:rsidR="0006166B" w:rsidRPr="00266E6B">
        <w:rPr>
          <w:rFonts w:ascii="Calibri" w:hAnsi="Calibri" w:cs="Calibri"/>
          <w:kern w:val="0"/>
          <w:sz w:val="22"/>
          <w:szCs w:val="22"/>
        </w:rPr>
        <w:t>ursuing remedies in the civil law</w:t>
      </w:r>
      <w:r w:rsidR="000D5812" w:rsidRPr="00266E6B">
        <w:rPr>
          <w:rFonts w:ascii="Calibri" w:hAnsi="Calibri" w:cs="Calibri"/>
          <w:kern w:val="0"/>
          <w:sz w:val="22"/>
          <w:szCs w:val="22"/>
        </w:rPr>
        <w:t xml:space="preserve"> relies o</w:t>
      </w:r>
      <w:r w:rsidR="00AB018A" w:rsidRPr="00266E6B">
        <w:rPr>
          <w:rFonts w:ascii="Calibri" w:hAnsi="Calibri" w:cs="Calibri"/>
          <w:kern w:val="0"/>
          <w:sz w:val="22"/>
          <w:szCs w:val="22"/>
        </w:rPr>
        <w:t>n</w:t>
      </w:r>
      <w:r w:rsidR="000D5812" w:rsidRPr="00266E6B">
        <w:rPr>
          <w:rFonts w:ascii="Calibri" w:hAnsi="Calibri" w:cs="Calibri"/>
          <w:kern w:val="0"/>
          <w:sz w:val="22"/>
          <w:szCs w:val="22"/>
        </w:rPr>
        <w:t xml:space="preserve"> victim-initiated action; </w:t>
      </w:r>
      <w:r w:rsidR="00AB018A" w:rsidRPr="00266E6B">
        <w:rPr>
          <w:rFonts w:ascii="Calibri" w:hAnsi="Calibri" w:cs="Calibri"/>
          <w:kern w:val="0"/>
          <w:sz w:val="22"/>
          <w:szCs w:val="22"/>
        </w:rPr>
        <w:t xml:space="preserve">and </w:t>
      </w:r>
      <w:r w:rsidR="001C5BB0" w:rsidRPr="00266E6B">
        <w:rPr>
          <w:rFonts w:ascii="Calibri" w:hAnsi="Calibri" w:cs="Calibri"/>
          <w:kern w:val="0"/>
          <w:sz w:val="22"/>
          <w:szCs w:val="22"/>
        </w:rPr>
        <w:t xml:space="preserve">there is no requirement for the adult to act. But as </w:t>
      </w:r>
      <w:r w:rsidR="00AB018A" w:rsidRPr="00266E6B">
        <w:rPr>
          <w:rFonts w:ascii="Calibri" w:hAnsi="Calibri" w:cs="Calibri"/>
          <w:kern w:val="0"/>
          <w:sz w:val="22"/>
          <w:szCs w:val="22"/>
        </w:rPr>
        <w:t xml:space="preserve">we argued </w:t>
      </w:r>
      <w:r w:rsidR="001C5BB0" w:rsidRPr="00266E6B">
        <w:rPr>
          <w:rFonts w:ascii="Calibri" w:hAnsi="Calibri" w:cs="Calibri"/>
          <w:kern w:val="0"/>
          <w:sz w:val="22"/>
          <w:szCs w:val="22"/>
        </w:rPr>
        <w:t xml:space="preserve">above </w:t>
      </w:r>
      <w:r w:rsidR="00AB018A" w:rsidRPr="00266E6B">
        <w:rPr>
          <w:rFonts w:ascii="Calibri" w:hAnsi="Calibri" w:cs="Calibri"/>
          <w:kern w:val="0"/>
          <w:sz w:val="22"/>
          <w:szCs w:val="22"/>
        </w:rPr>
        <w:t xml:space="preserve">the child is still an adjoined victim of intimate partner domestic abuse, irrespective of whether the adult victim </w:t>
      </w:r>
      <w:r w:rsidR="001C5BB0" w:rsidRPr="00266E6B">
        <w:rPr>
          <w:rFonts w:ascii="Calibri" w:hAnsi="Calibri" w:cs="Calibri"/>
          <w:kern w:val="0"/>
          <w:sz w:val="22"/>
          <w:szCs w:val="22"/>
        </w:rPr>
        <w:t xml:space="preserve">acts and therefore it </w:t>
      </w:r>
      <w:r w:rsidR="00642EC9" w:rsidRPr="00266E6B">
        <w:rPr>
          <w:rFonts w:ascii="Calibri" w:hAnsi="Calibri" w:cs="Calibri"/>
          <w:kern w:val="0"/>
          <w:sz w:val="22"/>
          <w:szCs w:val="22"/>
        </w:rPr>
        <w:t>is logical</w:t>
      </w:r>
      <w:r w:rsidR="001C5BB0" w:rsidRPr="00266E6B">
        <w:rPr>
          <w:rFonts w:ascii="Calibri" w:hAnsi="Calibri" w:cs="Calibri"/>
          <w:kern w:val="0"/>
          <w:sz w:val="22"/>
          <w:szCs w:val="22"/>
        </w:rPr>
        <w:t xml:space="preserve"> that they can seek an order independently</w:t>
      </w:r>
      <w:r w:rsidR="003A4970" w:rsidRPr="00266E6B">
        <w:rPr>
          <w:rFonts w:ascii="Calibri" w:hAnsi="Calibri" w:cs="Calibri"/>
          <w:kern w:val="0"/>
          <w:sz w:val="22"/>
          <w:szCs w:val="22"/>
        </w:rPr>
        <w:t>.</w:t>
      </w:r>
    </w:p>
    <w:p w14:paraId="6B5F0C4F" w14:textId="77777777" w:rsidR="00746479" w:rsidRPr="00266E6B" w:rsidRDefault="00746479" w:rsidP="00AB018A">
      <w:pPr>
        <w:autoSpaceDE w:val="0"/>
        <w:autoSpaceDN w:val="0"/>
        <w:adjustRightInd w:val="0"/>
        <w:jc w:val="both"/>
        <w:rPr>
          <w:rFonts w:ascii="Calibri" w:hAnsi="Calibri" w:cs="Calibri"/>
          <w:kern w:val="0"/>
          <w:sz w:val="22"/>
          <w:szCs w:val="22"/>
        </w:rPr>
      </w:pPr>
    </w:p>
    <w:p w14:paraId="6492BB23" w14:textId="51A69615" w:rsidR="0078506E" w:rsidRPr="00266E6B" w:rsidRDefault="00F70D20" w:rsidP="00AB018A">
      <w:pPr>
        <w:autoSpaceDE w:val="0"/>
        <w:autoSpaceDN w:val="0"/>
        <w:adjustRightInd w:val="0"/>
        <w:jc w:val="both"/>
        <w:rPr>
          <w:rFonts w:ascii="Calibri" w:hAnsi="Calibri" w:cs="Calibri"/>
          <w:kern w:val="0"/>
          <w:sz w:val="22"/>
          <w:szCs w:val="22"/>
        </w:rPr>
      </w:pPr>
      <w:r w:rsidRPr="00266E6B">
        <w:rPr>
          <w:rFonts w:ascii="Calibri" w:hAnsi="Calibri" w:cs="Calibri"/>
          <w:kern w:val="0"/>
          <w:sz w:val="22"/>
          <w:szCs w:val="22"/>
        </w:rPr>
        <w:t>Finally</w:t>
      </w:r>
      <w:r w:rsidR="00AE002D" w:rsidRPr="00266E6B">
        <w:rPr>
          <w:rFonts w:ascii="Calibri" w:hAnsi="Calibri" w:cs="Calibri"/>
          <w:kern w:val="0"/>
          <w:sz w:val="22"/>
          <w:szCs w:val="22"/>
        </w:rPr>
        <w:t>, it will be essential that children have access to appropriate support when seeking such an order</w:t>
      </w:r>
      <w:r w:rsidR="001675FF" w:rsidRPr="00266E6B">
        <w:rPr>
          <w:rFonts w:ascii="Calibri" w:hAnsi="Calibri" w:cs="Calibri"/>
          <w:kern w:val="0"/>
          <w:sz w:val="22"/>
          <w:szCs w:val="22"/>
        </w:rPr>
        <w:t xml:space="preserve"> – for example, in terms of legal aid and assistance</w:t>
      </w:r>
      <w:r w:rsidR="00AD169D" w:rsidRPr="00266E6B">
        <w:rPr>
          <w:rFonts w:ascii="Calibri" w:hAnsi="Calibri" w:cs="Calibri"/>
          <w:kern w:val="0"/>
          <w:sz w:val="22"/>
          <w:szCs w:val="22"/>
        </w:rPr>
        <w:t>.</w:t>
      </w:r>
      <w:r w:rsidR="001675FF" w:rsidRPr="00266E6B">
        <w:rPr>
          <w:rFonts w:ascii="Calibri" w:hAnsi="Calibri" w:cs="Calibri"/>
          <w:kern w:val="0"/>
          <w:sz w:val="22"/>
          <w:szCs w:val="22"/>
        </w:rPr>
        <w:t xml:space="preserve"> </w:t>
      </w:r>
      <w:r w:rsidR="003354DF" w:rsidRPr="00266E6B">
        <w:rPr>
          <w:rFonts w:ascii="Calibri" w:hAnsi="Calibri" w:cs="Calibri"/>
          <w:kern w:val="0"/>
          <w:sz w:val="22"/>
          <w:szCs w:val="22"/>
        </w:rPr>
        <w:t>We are aware of the burden – emotional and otherwise – that applying for an order</w:t>
      </w:r>
      <w:r w:rsidR="00066104" w:rsidRPr="00266E6B">
        <w:rPr>
          <w:rFonts w:ascii="Calibri" w:hAnsi="Calibri" w:cs="Calibri"/>
          <w:kern w:val="0"/>
          <w:sz w:val="22"/>
          <w:szCs w:val="22"/>
        </w:rPr>
        <w:t xml:space="preserve"> against the abuser in their life</w:t>
      </w:r>
      <w:r w:rsidR="003354DF" w:rsidRPr="00266E6B">
        <w:rPr>
          <w:rFonts w:ascii="Calibri" w:hAnsi="Calibri" w:cs="Calibri"/>
          <w:kern w:val="0"/>
          <w:sz w:val="22"/>
          <w:szCs w:val="22"/>
        </w:rPr>
        <w:t xml:space="preserve"> would have on a </w:t>
      </w:r>
      <w:proofErr w:type="gramStart"/>
      <w:r w:rsidR="003354DF" w:rsidRPr="00266E6B">
        <w:rPr>
          <w:rFonts w:ascii="Calibri" w:hAnsi="Calibri" w:cs="Calibri"/>
          <w:kern w:val="0"/>
          <w:sz w:val="22"/>
          <w:szCs w:val="22"/>
        </w:rPr>
        <w:t>child</w:t>
      </w:r>
      <w:r w:rsidR="00066104" w:rsidRPr="00266E6B">
        <w:rPr>
          <w:rFonts w:ascii="Calibri" w:hAnsi="Calibri" w:cs="Calibri"/>
          <w:kern w:val="0"/>
          <w:sz w:val="22"/>
          <w:szCs w:val="22"/>
        </w:rPr>
        <w:t>, and</w:t>
      </w:r>
      <w:proofErr w:type="gramEnd"/>
      <w:r w:rsidR="00066104" w:rsidRPr="00266E6B">
        <w:rPr>
          <w:rFonts w:ascii="Calibri" w:hAnsi="Calibri" w:cs="Calibri"/>
          <w:kern w:val="0"/>
          <w:sz w:val="22"/>
          <w:szCs w:val="22"/>
        </w:rPr>
        <w:t xml:space="preserve"> consider the Scottish system should do all it can to support them. </w:t>
      </w:r>
    </w:p>
    <w:p w14:paraId="297671BC" w14:textId="77777777" w:rsidR="00F616C4" w:rsidRPr="00266E6B" w:rsidRDefault="00F616C4" w:rsidP="00F616C4">
      <w:pPr>
        <w:autoSpaceDE w:val="0"/>
        <w:autoSpaceDN w:val="0"/>
        <w:adjustRightInd w:val="0"/>
        <w:rPr>
          <w:rFonts w:ascii="Calibri" w:hAnsi="Calibri" w:cs="Calibri"/>
          <w:b/>
          <w:bCs/>
          <w:i/>
          <w:iCs/>
          <w:kern w:val="0"/>
          <w:sz w:val="22"/>
          <w:szCs w:val="22"/>
        </w:rPr>
      </w:pPr>
    </w:p>
    <w:p w14:paraId="3FF5FD55" w14:textId="77777777" w:rsidR="00F616C4" w:rsidRPr="00266E6B" w:rsidRDefault="00F616C4" w:rsidP="00266E6B">
      <w:pPr>
        <w:autoSpaceDE w:val="0"/>
        <w:autoSpaceDN w:val="0"/>
        <w:adjustRightInd w:val="0"/>
        <w:ind w:firstLine="720"/>
        <w:rPr>
          <w:rFonts w:ascii="Calibri" w:hAnsi="Calibri" w:cs="Calibri"/>
          <w:b/>
          <w:bCs/>
          <w:i/>
          <w:iCs/>
          <w:kern w:val="0"/>
          <w:sz w:val="22"/>
          <w:szCs w:val="22"/>
        </w:rPr>
      </w:pPr>
      <w:r w:rsidRPr="00266E6B">
        <w:rPr>
          <w:rFonts w:ascii="Calibri" w:hAnsi="Calibri" w:cs="Calibri"/>
          <w:b/>
          <w:bCs/>
          <w:i/>
          <w:iCs/>
          <w:kern w:val="0"/>
          <w:sz w:val="22"/>
          <w:szCs w:val="22"/>
        </w:rPr>
        <w:t>(c) If sought by a parent/guardian on their behalf?</w:t>
      </w:r>
    </w:p>
    <w:p w14:paraId="3797E7C6" w14:textId="77777777" w:rsidR="006307D1" w:rsidRPr="00266E6B" w:rsidRDefault="006307D1">
      <w:pPr>
        <w:rPr>
          <w:rFonts w:ascii="Calibri" w:hAnsi="Calibri" w:cs="Calibri"/>
          <w:sz w:val="22"/>
          <w:szCs w:val="22"/>
        </w:rPr>
      </w:pPr>
    </w:p>
    <w:p w14:paraId="2F1BC0B8" w14:textId="290D04B0" w:rsidR="00FF0D03" w:rsidRPr="00266E6B" w:rsidRDefault="00C104BF" w:rsidP="009D65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rPr>
      </w:pPr>
      <w:r w:rsidRPr="00266E6B">
        <w:rPr>
          <w:rFonts w:ascii="Calibri" w:hAnsi="Calibri" w:cs="Calibri"/>
          <w:kern w:val="0"/>
          <w:sz w:val="22"/>
          <w:szCs w:val="22"/>
        </w:rPr>
        <w:t>I</w:t>
      </w:r>
      <w:r w:rsidR="009D65D7" w:rsidRPr="00266E6B">
        <w:rPr>
          <w:rFonts w:ascii="Calibri" w:hAnsi="Calibri" w:cs="Calibri"/>
          <w:color w:val="000000"/>
          <w:kern w:val="0"/>
          <w:sz w:val="22"/>
          <w:szCs w:val="22"/>
        </w:rPr>
        <w:t xml:space="preserve">n our view, this effect of recognising children as adjoined victims is potentially controversial. </w:t>
      </w:r>
    </w:p>
    <w:p w14:paraId="18C92FC1" w14:textId="77777777" w:rsidR="00C104BF" w:rsidRPr="00266E6B" w:rsidRDefault="00C104BF" w:rsidP="009D65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rPr>
      </w:pPr>
    </w:p>
    <w:p w14:paraId="710725FB" w14:textId="42A634BE" w:rsidR="009D65D7" w:rsidRPr="00266E6B" w:rsidRDefault="009D65D7" w:rsidP="009D65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rPr>
      </w:pPr>
      <w:r w:rsidRPr="00266E6B">
        <w:rPr>
          <w:rFonts w:ascii="Calibri" w:hAnsi="Calibri" w:cs="Calibri"/>
          <w:color w:val="000000"/>
          <w:kern w:val="0"/>
          <w:sz w:val="22"/>
          <w:szCs w:val="22"/>
        </w:rPr>
        <w:t xml:space="preserve">There are </w:t>
      </w:r>
      <w:r w:rsidR="00C104BF" w:rsidRPr="00266E6B">
        <w:rPr>
          <w:rFonts w:ascii="Calibri" w:hAnsi="Calibri" w:cs="Calibri"/>
          <w:color w:val="000000"/>
          <w:kern w:val="0"/>
          <w:sz w:val="22"/>
          <w:szCs w:val="22"/>
        </w:rPr>
        <w:t xml:space="preserve">two </w:t>
      </w:r>
      <w:r w:rsidRPr="00266E6B">
        <w:rPr>
          <w:rFonts w:ascii="Calibri" w:hAnsi="Calibri" w:cs="Calibri"/>
          <w:color w:val="000000"/>
          <w:kern w:val="0"/>
          <w:sz w:val="22"/>
          <w:szCs w:val="22"/>
        </w:rPr>
        <w:t xml:space="preserve">potential situations </w:t>
      </w:r>
      <w:r w:rsidR="00F76A11" w:rsidRPr="00266E6B">
        <w:rPr>
          <w:rFonts w:ascii="Calibri" w:hAnsi="Calibri" w:cs="Calibri"/>
          <w:color w:val="000000"/>
          <w:kern w:val="0"/>
          <w:sz w:val="22"/>
          <w:szCs w:val="22"/>
        </w:rPr>
        <w:t xml:space="preserve">which arise in relation to this </w:t>
      </w:r>
      <w:r w:rsidRPr="00266E6B">
        <w:rPr>
          <w:rFonts w:ascii="Calibri" w:hAnsi="Calibri" w:cs="Calibri"/>
          <w:color w:val="000000"/>
          <w:kern w:val="0"/>
          <w:sz w:val="22"/>
          <w:szCs w:val="22"/>
        </w:rPr>
        <w:t xml:space="preserve">and the </w:t>
      </w:r>
      <w:r w:rsidR="00C104BF" w:rsidRPr="00266E6B">
        <w:rPr>
          <w:rFonts w:ascii="Calibri" w:hAnsi="Calibri" w:cs="Calibri"/>
          <w:color w:val="000000"/>
          <w:kern w:val="0"/>
          <w:sz w:val="22"/>
          <w:szCs w:val="22"/>
        </w:rPr>
        <w:t xml:space="preserve">SLC </w:t>
      </w:r>
      <w:r w:rsidRPr="00266E6B">
        <w:rPr>
          <w:rFonts w:ascii="Calibri" w:hAnsi="Calibri" w:cs="Calibri"/>
          <w:color w:val="000000"/>
          <w:kern w:val="0"/>
          <w:sz w:val="22"/>
          <w:szCs w:val="22"/>
        </w:rPr>
        <w:t xml:space="preserve">Discussion Paper does not distinguish between them. </w:t>
      </w:r>
    </w:p>
    <w:p w14:paraId="34A17F3A" w14:textId="77777777" w:rsidR="00C104BF" w:rsidRPr="00266E6B" w:rsidRDefault="00C104BF" w:rsidP="009D65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highlight w:val="yellow"/>
        </w:rPr>
      </w:pPr>
    </w:p>
    <w:p w14:paraId="3A4910EF" w14:textId="32047C63" w:rsidR="009D65D7" w:rsidRPr="00266E6B" w:rsidRDefault="009D65D7" w:rsidP="00C10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000000"/>
          <w:kern w:val="0"/>
          <w:sz w:val="22"/>
          <w:szCs w:val="22"/>
        </w:rPr>
      </w:pPr>
      <w:r w:rsidRPr="00266E6B">
        <w:rPr>
          <w:rFonts w:ascii="Calibri" w:hAnsi="Calibri" w:cs="Calibri"/>
          <w:color w:val="000000"/>
          <w:kern w:val="0"/>
          <w:sz w:val="22"/>
          <w:szCs w:val="22"/>
        </w:rPr>
        <w:t>Situation 1: A child does not have capacity. A parent/</w:t>
      </w:r>
      <w:r w:rsidR="00C839EC" w:rsidRPr="00266E6B">
        <w:rPr>
          <w:rFonts w:ascii="Calibri" w:hAnsi="Calibri" w:cs="Calibri"/>
          <w:color w:val="000000"/>
          <w:kern w:val="0"/>
          <w:sz w:val="22"/>
          <w:szCs w:val="22"/>
        </w:rPr>
        <w:t>person</w:t>
      </w:r>
      <w:r w:rsidRPr="00266E6B">
        <w:rPr>
          <w:rFonts w:ascii="Calibri" w:hAnsi="Calibri" w:cs="Calibri"/>
          <w:color w:val="000000"/>
          <w:kern w:val="0"/>
          <w:sz w:val="22"/>
          <w:szCs w:val="22"/>
        </w:rPr>
        <w:t xml:space="preserve"> with </w:t>
      </w:r>
      <w:r w:rsidR="00C839EC" w:rsidRPr="00266E6B">
        <w:rPr>
          <w:rFonts w:ascii="Calibri" w:hAnsi="Calibri" w:cs="Calibri"/>
          <w:color w:val="000000"/>
          <w:kern w:val="0"/>
          <w:sz w:val="22"/>
          <w:szCs w:val="22"/>
        </w:rPr>
        <w:t>Parental Rights and Responsibilities (PRRS)</w:t>
      </w:r>
      <w:r w:rsidRPr="00266E6B">
        <w:rPr>
          <w:rFonts w:ascii="Calibri" w:hAnsi="Calibri" w:cs="Calibri"/>
          <w:color w:val="000000"/>
          <w:kern w:val="0"/>
          <w:sz w:val="22"/>
          <w:szCs w:val="22"/>
        </w:rPr>
        <w:t xml:space="preserve"> has the right and responsibility to act as the child’s legal representative under sections 1(1)(d) and 2(1)(d) of the </w:t>
      </w:r>
      <w:r w:rsidR="00F76A11" w:rsidRPr="00266E6B">
        <w:rPr>
          <w:rFonts w:ascii="Calibri" w:hAnsi="Calibri" w:cs="Calibri"/>
          <w:color w:val="000000"/>
          <w:kern w:val="0"/>
          <w:sz w:val="22"/>
          <w:szCs w:val="22"/>
        </w:rPr>
        <w:t xml:space="preserve">Children (Scotland) Act </w:t>
      </w:r>
      <w:r w:rsidRPr="00266E6B">
        <w:rPr>
          <w:rFonts w:ascii="Calibri" w:hAnsi="Calibri" w:cs="Calibri"/>
          <w:color w:val="000000"/>
          <w:kern w:val="0"/>
          <w:sz w:val="22"/>
          <w:szCs w:val="22"/>
        </w:rPr>
        <w:t xml:space="preserve">1995. So, when a child does not have capacity themselves, logically anyone with PRRS would </w:t>
      </w:r>
      <w:r w:rsidR="00C839EC" w:rsidRPr="00266E6B">
        <w:rPr>
          <w:rFonts w:ascii="Calibri" w:hAnsi="Calibri" w:cs="Calibri"/>
          <w:color w:val="000000"/>
          <w:kern w:val="0"/>
          <w:sz w:val="22"/>
          <w:szCs w:val="22"/>
        </w:rPr>
        <w:t xml:space="preserve">be able to apply on the child's behalf/as the child's legal </w:t>
      </w:r>
      <w:r w:rsidR="00C839EC" w:rsidRPr="00266E6B">
        <w:rPr>
          <w:rFonts w:ascii="Calibri" w:hAnsi="Calibri" w:cs="Calibri"/>
          <w:color w:val="000000"/>
          <w:kern w:val="0"/>
          <w:sz w:val="22"/>
          <w:szCs w:val="22"/>
        </w:rPr>
        <w:lastRenderedPageBreak/>
        <w:t>representative</w:t>
      </w:r>
      <w:r w:rsidRPr="00266E6B">
        <w:rPr>
          <w:rFonts w:ascii="Calibri" w:hAnsi="Calibri" w:cs="Calibri"/>
          <w:color w:val="000000"/>
          <w:kern w:val="0"/>
          <w:sz w:val="22"/>
          <w:szCs w:val="22"/>
        </w:rPr>
        <w:t>. Clearly there are situations where it would be in the child’s best interests for someone to apply on behalf of the child</w:t>
      </w:r>
      <w:r w:rsidR="00FF0D03" w:rsidRPr="00266E6B">
        <w:rPr>
          <w:rFonts w:ascii="Calibri" w:hAnsi="Calibri" w:cs="Calibri"/>
          <w:color w:val="000000"/>
          <w:kern w:val="0"/>
          <w:sz w:val="22"/>
          <w:szCs w:val="22"/>
        </w:rPr>
        <w:t xml:space="preserve">; and </w:t>
      </w:r>
      <w:r w:rsidR="00F76A11" w:rsidRPr="00266E6B">
        <w:rPr>
          <w:rFonts w:ascii="Calibri" w:hAnsi="Calibri" w:cs="Calibri"/>
          <w:color w:val="000000"/>
          <w:kern w:val="0"/>
          <w:sz w:val="22"/>
          <w:szCs w:val="22"/>
        </w:rPr>
        <w:t>doing so is</w:t>
      </w:r>
      <w:r w:rsidR="00FF0D03" w:rsidRPr="00266E6B">
        <w:rPr>
          <w:rFonts w:ascii="Calibri" w:hAnsi="Calibri" w:cs="Calibri"/>
          <w:color w:val="000000"/>
          <w:kern w:val="0"/>
          <w:sz w:val="22"/>
          <w:szCs w:val="22"/>
        </w:rPr>
        <w:t xml:space="preserve"> clearly necessary from a child protection perspective</w:t>
      </w:r>
      <w:r w:rsidR="00F76A11" w:rsidRPr="00266E6B">
        <w:rPr>
          <w:rFonts w:ascii="Calibri" w:hAnsi="Calibri" w:cs="Calibri"/>
          <w:color w:val="000000"/>
          <w:kern w:val="0"/>
          <w:sz w:val="22"/>
          <w:szCs w:val="22"/>
        </w:rPr>
        <w:t xml:space="preserve">. </w:t>
      </w:r>
    </w:p>
    <w:p w14:paraId="6A984E04" w14:textId="77777777" w:rsidR="00C104BF" w:rsidRPr="00266E6B" w:rsidRDefault="00C104BF" w:rsidP="009D65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rPr>
      </w:pPr>
    </w:p>
    <w:p w14:paraId="201B7951" w14:textId="05724DD8" w:rsidR="009D65D7" w:rsidRPr="00266E6B" w:rsidRDefault="009D65D7" w:rsidP="00C10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000000"/>
          <w:kern w:val="0"/>
          <w:sz w:val="22"/>
          <w:szCs w:val="22"/>
        </w:rPr>
      </w:pPr>
      <w:r w:rsidRPr="00266E6B">
        <w:rPr>
          <w:rFonts w:ascii="Calibri" w:hAnsi="Calibri" w:cs="Calibri"/>
          <w:color w:val="000000"/>
          <w:kern w:val="0"/>
          <w:sz w:val="22"/>
          <w:szCs w:val="22"/>
        </w:rPr>
        <w:t>Situation 2: A child has capacity. Would a parent or guardian of the adjoined victim still be able to apply</w:t>
      </w:r>
      <w:r w:rsidR="00F76A11" w:rsidRPr="00266E6B">
        <w:rPr>
          <w:rFonts w:ascii="Calibri" w:hAnsi="Calibri" w:cs="Calibri"/>
          <w:color w:val="000000"/>
          <w:kern w:val="0"/>
          <w:sz w:val="22"/>
          <w:szCs w:val="22"/>
        </w:rPr>
        <w:t xml:space="preserve"> in such circumstances</w:t>
      </w:r>
      <w:r w:rsidRPr="00266E6B">
        <w:rPr>
          <w:rFonts w:ascii="Calibri" w:hAnsi="Calibri" w:cs="Calibri"/>
          <w:color w:val="000000"/>
          <w:kern w:val="0"/>
          <w:sz w:val="22"/>
          <w:szCs w:val="22"/>
        </w:rPr>
        <w:t xml:space="preserve">? </w:t>
      </w:r>
      <w:r w:rsidR="00F76A11" w:rsidRPr="00266E6B">
        <w:rPr>
          <w:rFonts w:ascii="Calibri" w:hAnsi="Calibri" w:cs="Calibri"/>
          <w:color w:val="000000"/>
          <w:kern w:val="0"/>
          <w:sz w:val="22"/>
          <w:szCs w:val="22"/>
        </w:rPr>
        <w:t>Such an approach risks</w:t>
      </w:r>
      <w:r w:rsidR="00C84328" w:rsidRPr="00266E6B">
        <w:rPr>
          <w:rFonts w:ascii="Calibri" w:hAnsi="Calibri" w:cs="Calibri"/>
          <w:color w:val="000000"/>
          <w:kern w:val="0"/>
          <w:sz w:val="22"/>
          <w:szCs w:val="22"/>
        </w:rPr>
        <w:t xml:space="preserve"> undermin</w:t>
      </w:r>
      <w:r w:rsidR="00F76A11" w:rsidRPr="00266E6B">
        <w:rPr>
          <w:rFonts w:ascii="Calibri" w:hAnsi="Calibri" w:cs="Calibri"/>
          <w:color w:val="000000"/>
          <w:kern w:val="0"/>
          <w:sz w:val="22"/>
          <w:szCs w:val="22"/>
        </w:rPr>
        <w:t>ing</w:t>
      </w:r>
      <w:r w:rsidR="00C84328" w:rsidRPr="00266E6B">
        <w:rPr>
          <w:rFonts w:ascii="Calibri" w:hAnsi="Calibri" w:cs="Calibri"/>
          <w:color w:val="000000"/>
          <w:kern w:val="0"/>
          <w:sz w:val="22"/>
          <w:szCs w:val="22"/>
        </w:rPr>
        <w:t xml:space="preserve"> the</w:t>
      </w:r>
      <w:r w:rsidRPr="00266E6B">
        <w:rPr>
          <w:rFonts w:ascii="Calibri" w:hAnsi="Calibri" w:cs="Calibri"/>
          <w:color w:val="000000"/>
          <w:kern w:val="0"/>
          <w:sz w:val="22"/>
          <w:szCs w:val="22"/>
        </w:rPr>
        <w:t xml:space="preserve"> agency </w:t>
      </w:r>
      <w:r w:rsidR="00C84328" w:rsidRPr="00266E6B">
        <w:rPr>
          <w:rFonts w:ascii="Calibri" w:hAnsi="Calibri" w:cs="Calibri"/>
          <w:color w:val="000000"/>
          <w:kern w:val="0"/>
          <w:sz w:val="22"/>
          <w:szCs w:val="22"/>
        </w:rPr>
        <w:t>of</w:t>
      </w:r>
      <w:r w:rsidRPr="00266E6B">
        <w:rPr>
          <w:rFonts w:ascii="Calibri" w:hAnsi="Calibri" w:cs="Calibri"/>
          <w:color w:val="000000"/>
          <w:kern w:val="0"/>
          <w:sz w:val="22"/>
          <w:szCs w:val="22"/>
        </w:rPr>
        <w:t xml:space="preserve"> the child</w:t>
      </w:r>
      <w:r w:rsidR="006A7BEA" w:rsidRPr="00266E6B">
        <w:rPr>
          <w:rFonts w:ascii="Calibri" w:hAnsi="Calibri" w:cs="Calibri"/>
          <w:color w:val="000000"/>
          <w:kern w:val="0"/>
          <w:sz w:val="22"/>
          <w:szCs w:val="22"/>
        </w:rPr>
        <w:t xml:space="preserve">. One concern is that allowing an adult to apply where the child has capacity but does not wish to apply reinforces the notion that domestic abuse is an ‘adult concern’. Consideration </w:t>
      </w:r>
      <w:r w:rsidRPr="00266E6B">
        <w:rPr>
          <w:rFonts w:ascii="Calibri" w:hAnsi="Calibri" w:cs="Calibri"/>
          <w:color w:val="000000"/>
          <w:kern w:val="0"/>
          <w:sz w:val="22"/>
          <w:szCs w:val="22"/>
        </w:rPr>
        <w:t xml:space="preserve">needs to be given to how </w:t>
      </w:r>
      <w:r w:rsidR="00C84328" w:rsidRPr="00266E6B">
        <w:rPr>
          <w:rFonts w:ascii="Calibri" w:hAnsi="Calibri" w:cs="Calibri"/>
          <w:color w:val="000000"/>
          <w:kern w:val="0"/>
          <w:sz w:val="22"/>
          <w:szCs w:val="22"/>
        </w:rPr>
        <w:t xml:space="preserve">such an approach </w:t>
      </w:r>
      <w:r w:rsidRPr="00266E6B">
        <w:rPr>
          <w:rFonts w:ascii="Calibri" w:hAnsi="Calibri" w:cs="Calibri"/>
          <w:color w:val="000000"/>
          <w:kern w:val="0"/>
          <w:sz w:val="22"/>
          <w:szCs w:val="22"/>
        </w:rPr>
        <w:t>would fit with other issues around children and capacity in Scots law e.g. medical treatment and the UNCRC</w:t>
      </w:r>
      <w:r w:rsidR="00AC105C" w:rsidRPr="00266E6B">
        <w:rPr>
          <w:rFonts w:ascii="Calibri" w:hAnsi="Calibri" w:cs="Calibri"/>
          <w:color w:val="000000"/>
          <w:kern w:val="0"/>
          <w:sz w:val="22"/>
          <w:szCs w:val="22"/>
        </w:rPr>
        <w:t xml:space="preserve">; and how to achieve an appropriate balance between child protection concerns and respecting children’s agency where they have capacity. </w:t>
      </w:r>
    </w:p>
    <w:p w14:paraId="7360299B" w14:textId="77777777" w:rsidR="00F76A11" w:rsidRPr="00266E6B" w:rsidRDefault="00F76A11" w:rsidP="00C10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000000"/>
          <w:kern w:val="0"/>
          <w:sz w:val="22"/>
          <w:szCs w:val="22"/>
        </w:rPr>
      </w:pPr>
    </w:p>
    <w:p w14:paraId="0417F16D" w14:textId="4299EDD1" w:rsidR="00F76A11" w:rsidRPr="00266E6B" w:rsidRDefault="006A7BEA" w:rsidP="00C10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000000"/>
          <w:kern w:val="0"/>
          <w:sz w:val="22"/>
          <w:szCs w:val="22"/>
        </w:rPr>
      </w:pPr>
      <w:r w:rsidRPr="00266E6B">
        <w:rPr>
          <w:rFonts w:ascii="Calibri" w:hAnsi="Calibri" w:cs="Calibri"/>
          <w:color w:val="000000"/>
          <w:kern w:val="0"/>
          <w:sz w:val="22"/>
          <w:szCs w:val="22"/>
        </w:rPr>
        <w:t xml:space="preserve">While allowing parents/guardian to apply in situation 1 is not controversial, allowing them to do so in situation 2 is potentially controversial. </w:t>
      </w:r>
      <w:r w:rsidR="00F76A11" w:rsidRPr="00266E6B">
        <w:rPr>
          <w:rFonts w:ascii="Calibri" w:hAnsi="Calibri" w:cs="Calibri"/>
          <w:color w:val="000000"/>
          <w:kern w:val="0"/>
          <w:sz w:val="22"/>
          <w:szCs w:val="22"/>
        </w:rPr>
        <w:t xml:space="preserve">It is possible that the SLC only envisage a parent/guardian being able to seek an order on behalf of the child where that child lacks capacity, but that is unclear. </w:t>
      </w:r>
    </w:p>
    <w:p w14:paraId="74B7DC08" w14:textId="77777777" w:rsidR="00C104BF" w:rsidRPr="00266E6B" w:rsidRDefault="00C104BF" w:rsidP="009D65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highlight w:val="yellow"/>
        </w:rPr>
      </w:pPr>
    </w:p>
    <w:p w14:paraId="265494A8" w14:textId="5F8CDD1B" w:rsidR="006A7BEA" w:rsidRPr="00266E6B" w:rsidRDefault="009D65D7" w:rsidP="004F4EFA">
      <w:pPr>
        <w:autoSpaceDE w:val="0"/>
        <w:autoSpaceDN w:val="0"/>
        <w:adjustRightInd w:val="0"/>
        <w:jc w:val="both"/>
        <w:rPr>
          <w:rFonts w:ascii="Calibri" w:hAnsi="Calibri" w:cs="Calibri"/>
          <w:kern w:val="0"/>
          <w:sz w:val="22"/>
          <w:szCs w:val="22"/>
        </w:rPr>
      </w:pPr>
      <w:r w:rsidRPr="00266E6B">
        <w:rPr>
          <w:rFonts w:ascii="Calibri" w:hAnsi="Calibri" w:cs="Calibri"/>
          <w:color w:val="000000"/>
          <w:kern w:val="0"/>
          <w:sz w:val="22"/>
          <w:szCs w:val="22"/>
        </w:rPr>
        <w:t xml:space="preserve">In </w:t>
      </w:r>
      <w:r w:rsidR="006A7BEA" w:rsidRPr="00266E6B">
        <w:rPr>
          <w:rFonts w:ascii="Calibri" w:hAnsi="Calibri" w:cs="Calibri"/>
          <w:color w:val="000000"/>
          <w:kern w:val="0"/>
          <w:sz w:val="22"/>
          <w:szCs w:val="22"/>
        </w:rPr>
        <w:t>either</w:t>
      </w:r>
      <w:r w:rsidRPr="00266E6B">
        <w:rPr>
          <w:rFonts w:ascii="Calibri" w:hAnsi="Calibri" w:cs="Calibri"/>
          <w:color w:val="000000"/>
          <w:kern w:val="0"/>
          <w:sz w:val="22"/>
          <w:szCs w:val="22"/>
        </w:rPr>
        <w:t xml:space="preserve"> situation, some may argue that there is a risk of this </w:t>
      </w:r>
      <w:r w:rsidR="00AA0F10" w:rsidRPr="00266E6B">
        <w:rPr>
          <w:rFonts w:ascii="Calibri" w:hAnsi="Calibri" w:cs="Calibri"/>
          <w:color w:val="000000"/>
          <w:kern w:val="0"/>
          <w:sz w:val="22"/>
          <w:szCs w:val="22"/>
        </w:rPr>
        <w:t xml:space="preserve">option being used for by the parent/guardian </w:t>
      </w:r>
      <w:r w:rsidR="006A7BEA" w:rsidRPr="00266E6B">
        <w:rPr>
          <w:rFonts w:ascii="Calibri" w:hAnsi="Calibri" w:cs="Calibri"/>
          <w:color w:val="000000"/>
          <w:kern w:val="0"/>
          <w:sz w:val="22"/>
          <w:szCs w:val="22"/>
        </w:rPr>
        <w:t>in pursuit of</w:t>
      </w:r>
      <w:r w:rsidR="00AA0F10" w:rsidRPr="00266E6B">
        <w:rPr>
          <w:rFonts w:ascii="Calibri" w:hAnsi="Calibri" w:cs="Calibri"/>
          <w:color w:val="000000"/>
          <w:kern w:val="0"/>
          <w:sz w:val="22"/>
          <w:szCs w:val="22"/>
        </w:rPr>
        <w:t xml:space="preserve"> their own agenda</w:t>
      </w:r>
      <w:r w:rsidR="003112F6" w:rsidRPr="00266E6B">
        <w:rPr>
          <w:rFonts w:ascii="Calibri" w:hAnsi="Calibri" w:cs="Calibri"/>
          <w:color w:val="000000"/>
          <w:kern w:val="0"/>
          <w:sz w:val="22"/>
          <w:szCs w:val="22"/>
        </w:rPr>
        <w:t xml:space="preserve">. </w:t>
      </w:r>
      <w:r w:rsidRPr="00266E6B">
        <w:rPr>
          <w:rFonts w:ascii="Calibri" w:hAnsi="Calibri" w:cs="Calibri"/>
          <w:color w:val="000000"/>
          <w:kern w:val="0"/>
          <w:sz w:val="22"/>
          <w:szCs w:val="22"/>
        </w:rPr>
        <w:t>In the example provided by the Commission</w:t>
      </w:r>
      <w:r w:rsidR="00AA0F10" w:rsidRPr="00266E6B">
        <w:rPr>
          <w:rFonts w:ascii="Calibri" w:hAnsi="Calibri" w:cs="Calibri"/>
          <w:color w:val="000000"/>
          <w:kern w:val="0"/>
          <w:sz w:val="22"/>
          <w:szCs w:val="22"/>
        </w:rPr>
        <w:t xml:space="preserve"> (p 178 of the Discussion Paper)</w:t>
      </w:r>
      <w:r w:rsidRPr="00266E6B">
        <w:rPr>
          <w:rFonts w:ascii="Calibri" w:hAnsi="Calibri" w:cs="Calibri"/>
          <w:color w:val="000000"/>
          <w:kern w:val="0"/>
          <w:sz w:val="22"/>
          <w:szCs w:val="22"/>
        </w:rPr>
        <w:t xml:space="preserve">, for example, it is possible that the child’s mother could apply for a civil protection order for the child </w:t>
      </w:r>
      <w:r w:rsidR="00C104BF" w:rsidRPr="00266E6B">
        <w:rPr>
          <w:rFonts w:ascii="Calibri" w:hAnsi="Calibri" w:cs="Calibri"/>
          <w:color w:val="000000"/>
          <w:kern w:val="0"/>
          <w:sz w:val="22"/>
          <w:szCs w:val="22"/>
        </w:rPr>
        <w:t>to</w:t>
      </w:r>
      <w:r w:rsidRPr="00266E6B">
        <w:rPr>
          <w:rFonts w:ascii="Calibri" w:hAnsi="Calibri" w:cs="Calibri"/>
          <w:color w:val="000000"/>
          <w:kern w:val="0"/>
          <w:sz w:val="22"/>
          <w:szCs w:val="22"/>
        </w:rPr>
        <w:t xml:space="preserve"> support their position in ongoing contact/residence proceedings with the father. </w:t>
      </w:r>
      <w:r w:rsidR="00AA0F10" w:rsidRPr="00266E6B">
        <w:rPr>
          <w:rFonts w:ascii="Calibri" w:hAnsi="Calibri" w:cs="Calibri"/>
          <w:color w:val="000000"/>
          <w:kern w:val="0"/>
          <w:sz w:val="22"/>
          <w:szCs w:val="22"/>
        </w:rPr>
        <w:t xml:space="preserve">We are </w:t>
      </w:r>
      <w:r w:rsidR="003112F6" w:rsidRPr="00266E6B">
        <w:rPr>
          <w:rFonts w:ascii="Calibri" w:hAnsi="Calibri" w:cs="Calibri"/>
          <w:color w:val="000000"/>
          <w:kern w:val="0"/>
          <w:sz w:val="22"/>
          <w:szCs w:val="22"/>
        </w:rPr>
        <w:t>v</w:t>
      </w:r>
      <w:r w:rsidRPr="00266E6B">
        <w:rPr>
          <w:rFonts w:ascii="Calibri" w:hAnsi="Calibri" w:cs="Calibri"/>
          <w:color w:val="000000"/>
          <w:kern w:val="0"/>
          <w:sz w:val="22"/>
          <w:szCs w:val="22"/>
        </w:rPr>
        <w:t>ery hesitant to over</w:t>
      </w:r>
      <w:r w:rsidR="000A0359" w:rsidRPr="00266E6B">
        <w:rPr>
          <w:rFonts w:ascii="Calibri" w:hAnsi="Calibri" w:cs="Calibri"/>
          <w:color w:val="000000"/>
          <w:kern w:val="0"/>
          <w:sz w:val="22"/>
          <w:szCs w:val="22"/>
        </w:rPr>
        <w:t>state</w:t>
      </w:r>
      <w:r w:rsidRPr="00266E6B">
        <w:rPr>
          <w:rFonts w:ascii="Calibri" w:hAnsi="Calibri" w:cs="Calibri"/>
          <w:color w:val="000000"/>
          <w:kern w:val="0"/>
          <w:sz w:val="22"/>
          <w:szCs w:val="22"/>
        </w:rPr>
        <w:t xml:space="preserve"> </w:t>
      </w:r>
      <w:r w:rsidR="0028422A" w:rsidRPr="00266E6B">
        <w:rPr>
          <w:rFonts w:ascii="Calibri" w:hAnsi="Calibri" w:cs="Calibri"/>
          <w:color w:val="000000"/>
          <w:kern w:val="0"/>
          <w:sz w:val="22"/>
          <w:szCs w:val="22"/>
        </w:rPr>
        <w:t>this risk</w:t>
      </w:r>
      <w:r w:rsidRPr="00266E6B">
        <w:rPr>
          <w:rFonts w:ascii="Calibri" w:hAnsi="Calibri" w:cs="Calibri"/>
          <w:color w:val="000000"/>
          <w:kern w:val="0"/>
          <w:sz w:val="22"/>
          <w:szCs w:val="22"/>
        </w:rPr>
        <w:t xml:space="preserve"> as we are acutely aware that claims of alienation/manipulation are presently used to foreclose consideration of domestic abuse</w:t>
      </w:r>
      <w:r w:rsidR="0028422A" w:rsidRPr="00266E6B">
        <w:rPr>
          <w:rFonts w:ascii="Calibri" w:hAnsi="Calibri" w:cs="Calibri"/>
          <w:color w:val="000000"/>
          <w:kern w:val="0"/>
          <w:sz w:val="22"/>
          <w:szCs w:val="22"/>
        </w:rPr>
        <w:t>; and that t</w:t>
      </w:r>
      <w:r w:rsidRPr="00266E6B">
        <w:rPr>
          <w:rFonts w:ascii="Calibri" w:hAnsi="Calibri" w:cs="Calibri"/>
          <w:color w:val="000000"/>
          <w:kern w:val="0"/>
          <w:sz w:val="22"/>
          <w:szCs w:val="22"/>
        </w:rPr>
        <w:t xml:space="preserve">here is limited evidence of women/mothers trying to manipulate the system in this way. </w:t>
      </w:r>
      <w:r w:rsidR="006A7BEA" w:rsidRPr="00266E6B">
        <w:rPr>
          <w:rFonts w:ascii="Calibri" w:hAnsi="Calibri" w:cs="Calibri"/>
          <w:color w:val="000000"/>
          <w:kern w:val="0"/>
          <w:sz w:val="22"/>
          <w:szCs w:val="22"/>
        </w:rPr>
        <w:t>Arguably</w:t>
      </w:r>
      <w:r w:rsidR="00B96338" w:rsidRPr="00266E6B">
        <w:rPr>
          <w:rFonts w:ascii="Calibri" w:hAnsi="Calibri" w:cs="Calibri"/>
          <w:color w:val="000000"/>
          <w:kern w:val="0"/>
          <w:sz w:val="22"/>
          <w:szCs w:val="22"/>
        </w:rPr>
        <w:t xml:space="preserve"> a more pressing risk </w:t>
      </w:r>
      <w:r w:rsidR="000A13BB" w:rsidRPr="00266E6B">
        <w:rPr>
          <w:rFonts w:ascii="Calibri" w:hAnsi="Calibri" w:cs="Calibri"/>
          <w:color w:val="000000"/>
          <w:kern w:val="0"/>
          <w:sz w:val="22"/>
          <w:szCs w:val="22"/>
        </w:rPr>
        <w:t>is that this</w:t>
      </w:r>
      <w:r w:rsidR="00B96338" w:rsidRPr="00266E6B">
        <w:rPr>
          <w:rFonts w:ascii="Calibri" w:hAnsi="Calibri" w:cs="Calibri"/>
          <w:color w:val="000000"/>
          <w:kern w:val="0"/>
          <w:sz w:val="22"/>
          <w:szCs w:val="22"/>
        </w:rPr>
        <w:t xml:space="preserve"> option </w:t>
      </w:r>
      <w:r w:rsidR="000A13BB" w:rsidRPr="00266E6B">
        <w:rPr>
          <w:rFonts w:ascii="Calibri" w:hAnsi="Calibri" w:cs="Calibri"/>
          <w:color w:val="000000"/>
          <w:kern w:val="0"/>
          <w:sz w:val="22"/>
          <w:szCs w:val="22"/>
        </w:rPr>
        <w:t>is</w:t>
      </w:r>
      <w:r w:rsidR="00B96338" w:rsidRPr="00266E6B">
        <w:rPr>
          <w:rFonts w:ascii="Calibri" w:hAnsi="Calibri" w:cs="Calibri"/>
          <w:color w:val="000000"/>
          <w:kern w:val="0"/>
          <w:sz w:val="22"/>
          <w:szCs w:val="22"/>
        </w:rPr>
        <w:t xml:space="preserve"> misused </w:t>
      </w:r>
      <w:r w:rsidR="000A13BB" w:rsidRPr="00266E6B">
        <w:rPr>
          <w:rFonts w:ascii="Calibri" w:hAnsi="Calibri" w:cs="Calibri"/>
          <w:color w:val="000000"/>
          <w:kern w:val="0"/>
          <w:sz w:val="22"/>
          <w:szCs w:val="22"/>
        </w:rPr>
        <w:t>by</w:t>
      </w:r>
      <w:r w:rsidR="00B96338" w:rsidRPr="00266E6B">
        <w:rPr>
          <w:rFonts w:ascii="Calibri" w:hAnsi="Calibri" w:cs="Calibri"/>
          <w:color w:val="000000"/>
          <w:kern w:val="0"/>
          <w:sz w:val="22"/>
          <w:szCs w:val="22"/>
        </w:rPr>
        <w:t xml:space="preserve"> abusive men/ fathers</w:t>
      </w:r>
      <w:r w:rsidR="000A13BB" w:rsidRPr="00266E6B">
        <w:rPr>
          <w:rFonts w:ascii="Calibri" w:hAnsi="Calibri" w:cs="Calibri"/>
          <w:color w:val="000000"/>
          <w:kern w:val="0"/>
          <w:sz w:val="22"/>
          <w:szCs w:val="22"/>
        </w:rPr>
        <w:t>, who</w:t>
      </w:r>
      <w:r w:rsidR="006A7BEA" w:rsidRPr="00266E6B">
        <w:rPr>
          <w:rFonts w:ascii="Calibri" w:hAnsi="Calibri" w:cs="Calibri"/>
          <w:color w:val="000000"/>
          <w:kern w:val="0"/>
          <w:sz w:val="22"/>
          <w:szCs w:val="22"/>
        </w:rPr>
        <w:t xml:space="preserve"> might</w:t>
      </w:r>
      <w:r w:rsidR="000A13BB" w:rsidRPr="00266E6B">
        <w:rPr>
          <w:rFonts w:ascii="Calibri" w:hAnsi="Calibri" w:cs="Calibri"/>
          <w:color w:val="000000"/>
          <w:kern w:val="0"/>
          <w:sz w:val="22"/>
          <w:szCs w:val="22"/>
        </w:rPr>
        <w:t xml:space="preserve"> seek</w:t>
      </w:r>
      <w:r w:rsidR="00B96338" w:rsidRPr="00266E6B">
        <w:rPr>
          <w:rFonts w:ascii="Calibri" w:hAnsi="Calibri" w:cs="Calibri"/>
          <w:color w:val="000000"/>
          <w:kern w:val="0"/>
          <w:sz w:val="22"/>
          <w:szCs w:val="22"/>
        </w:rPr>
        <w:t xml:space="preserve"> to weaponize this </w:t>
      </w:r>
      <w:r w:rsidR="000A13BB" w:rsidRPr="00266E6B">
        <w:rPr>
          <w:rFonts w:ascii="Calibri" w:hAnsi="Calibri" w:cs="Calibri"/>
          <w:color w:val="000000"/>
          <w:kern w:val="0"/>
          <w:sz w:val="22"/>
          <w:szCs w:val="22"/>
        </w:rPr>
        <w:t>option</w:t>
      </w:r>
      <w:r w:rsidR="00B96338" w:rsidRPr="00266E6B">
        <w:rPr>
          <w:rFonts w:ascii="Calibri" w:hAnsi="Calibri" w:cs="Calibri"/>
          <w:color w:val="000000"/>
          <w:kern w:val="0"/>
          <w:sz w:val="22"/>
          <w:szCs w:val="22"/>
        </w:rPr>
        <w:t xml:space="preserve"> against women/ mothers by, for example, applying for a protective order on behalf of the child arguing they are an adjoined victim because they allege mother is abusive to e.g. their new partner. Unfortunately, </w:t>
      </w:r>
      <w:r w:rsidR="00B96338" w:rsidRPr="00266E6B">
        <w:rPr>
          <w:rFonts w:ascii="Calibri" w:hAnsi="Calibri" w:cs="Calibri"/>
          <w:kern w:val="0"/>
          <w:sz w:val="22"/>
          <w:szCs w:val="22"/>
        </w:rPr>
        <w:t xml:space="preserve">‘systems abuse’ </w:t>
      </w:r>
      <w:r w:rsidR="004271C8" w:rsidRPr="00266E6B">
        <w:rPr>
          <w:rFonts w:ascii="Calibri" w:hAnsi="Calibri" w:cs="Calibri"/>
          <w:kern w:val="0"/>
          <w:sz w:val="22"/>
          <w:szCs w:val="22"/>
        </w:rPr>
        <w:t xml:space="preserve">such as making </w:t>
      </w:r>
      <w:r w:rsidR="00B96338" w:rsidRPr="00266E6B">
        <w:rPr>
          <w:rFonts w:ascii="Calibri" w:hAnsi="Calibri" w:cs="Calibri"/>
          <w:kern w:val="0"/>
          <w:sz w:val="22"/>
          <w:szCs w:val="22"/>
        </w:rPr>
        <w:t>false reports</w:t>
      </w:r>
      <w:r w:rsidR="004271C8" w:rsidRPr="00266E6B">
        <w:rPr>
          <w:rFonts w:ascii="Calibri" w:hAnsi="Calibri" w:cs="Calibri"/>
          <w:kern w:val="0"/>
          <w:sz w:val="22"/>
          <w:szCs w:val="22"/>
        </w:rPr>
        <w:t xml:space="preserve"> of child maltreatment</w:t>
      </w:r>
      <w:r w:rsidR="00B96338" w:rsidRPr="00266E6B">
        <w:rPr>
          <w:rFonts w:ascii="Calibri" w:hAnsi="Calibri" w:cs="Calibri"/>
          <w:kern w:val="0"/>
          <w:sz w:val="22"/>
          <w:szCs w:val="22"/>
        </w:rPr>
        <w:t xml:space="preserve"> can be a common tactic </w:t>
      </w:r>
      <w:r w:rsidR="004271C8" w:rsidRPr="00266E6B">
        <w:rPr>
          <w:rFonts w:ascii="Calibri" w:hAnsi="Calibri" w:cs="Calibri"/>
          <w:kern w:val="0"/>
          <w:sz w:val="22"/>
          <w:szCs w:val="22"/>
        </w:rPr>
        <w:t xml:space="preserve">deployed by perpetrators of </w:t>
      </w:r>
      <w:r w:rsidR="00B96338" w:rsidRPr="00266E6B">
        <w:rPr>
          <w:rFonts w:ascii="Calibri" w:hAnsi="Calibri" w:cs="Calibri"/>
          <w:kern w:val="0"/>
          <w:sz w:val="22"/>
          <w:szCs w:val="22"/>
        </w:rPr>
        <w:t>coercive control.</w:t>
      </w:r>
      <w:r w:rsidR="00B96338" w:rsidRPr="00266E6B">
        <w:rPr>
          <w:rStyle w:val="FootnoteReference"/>
          <w:rFonts w:ascii="Calibri" w:hAnsi="Calibri" w:cs="Calibri"/>
          <w:kern w:val="0"/>
          <w:sz w:val="22"/>
          <w:szCs w:val="22"/>
        </w:rPr>
        <w:footnoteReference w:id="34"/>
      </w:r>
      <w:r w:rsidR="00B96338" w:rsidRPr="00266E6B">
        <w:rPr>
          <w:rFonts w:ascii="Calibri" w:hAnsi="Calibri" w:cs="Calibri"/>
          <w:kern w:val="0"/>
          <w:sz w:val="22"/>
          <w:szCs w:val="22"/>
        </w:rPr>
        <w:t xml:space="preserve"> </w:t>
      </w:r>
      <w:r w:rsidR="004F4EFA" w:rsidRPr="00266E6B">
        <w:rPr>
          <w:rFonts w:ascii="Calibri" w:hAnsi="Calibri" w:cs="Calibri"/>
          <w:kern w:val="0"/>
          <w:sz w:val="22"/>
          <w:szCs w:val="22"/>
        </w:rPr>
        <w:t xml:space="preserve">The Commission will need to consider these issues. </w:t>
      </w:r>
    </w:p>
    <w:p w14:paraId="0F4184B5" w14:textId="77777777" w:rsidR="006A7BEA" w:rsidRPr="00266E6B" w:rsidRDefault="006A7BEA" w:rsidP="004F4EFA">
      <w:pPr>
        <w:autoSpaceDE w:val="0"/>
        <w:autoSpaceDN w:val="0"/>
        <w:adjustRightInd w:val="0"/>
        <w:jc w:val="both"/>
        <w:rPr>
          <w:rFonts w:ascii="Calibri" w:hAnsi="Calibri" w:cs="Calibri"/>
          <w:kern w:val="0"/>
          <w:sz w:val="22"/>
          <w:szCs w:val="22"/>
        </w:rPr>
      </w:pPr>
    </w:p>
    <w:p w14:paraId="79CF3A13" w14:textId="2E505683" w:rsidR="000A13BB" w:rsidRPr="00266E6B" w:rsidRDefault="006A7BEA" w:rsidP="004F4EFA">
      <w:pPr>
        <w:autoSpaceDE w:val="0"/>
        <w:autoSpaceDN w:val="0"/>
        <w:adjustRightInd w:val="0"/>
        <w:jc w:val="both"/>
        <w:rPr>
          <w:rFonts w:ascii="Calibri" w:hAnsi="Calibri" w:cs="Calibri"/>
          <w:color w:val="000000"/>
          <w:kern w:val="0"/>
          <w:sz w:val="22"/>
          <w:szCs w:val="22"/>
        </w:rPr>
      </w:pPr>
      <w:r w:rsidRPr="00266E6B">
        <w:rPr>
          <w:rFonts w:ascii="Calibri" w:hAnsi="Calibri" w:cs="Calibri"/>
          <w:kern w:val="0"/>
          <w:sz w:val="22"/>
          <w:szCs w:val="22"/>
        </w:rPr>
        <w:t>More generally, we would</w:t>
      </w:r>
      <w:r w:rsidR="004F4EFA" w:rsidRPr="00266E6B">
        <w:rPr>
          <w:rFonts w:ascii="Calibri" w:hAnsi="Calibri" w:cs="Calibri"/>
          <w:kern w:val="0"/>
          <w:sz w:val="22"/>
          <w:szCs w:val="22"/>
        </w:rPr>
        <w:t xml:space="preserve"> </w:t>
      </w:r>
      <w:r w:rsidR="0028422A" w:rsidRPr="00266E6B">
        <w:rPr>
          <w:rFonts w:ascii="Calibri" w:hAnsi="Calibri" w:cs="Calibri"/>
          <w:color w:val="000000"/>
          <w:kern w:val="0"/>
          <w:sz w:val="22"/>
          <w:szCs w:val="22"/>
        </w:rPr>
        <w:t>emphasise the point that</w:t>
      </w:r>
      <w:r w:rsidR="00AC105C" w:rsidRPr="00266E6B">
        <w:rPr>
          <w:rFonts w:ascii="Calibri" w:hAnsi="Calibri" w:cs="Calibri"/>
          <w:color w:val="000000"/>
          <w:kern w:val="0"/>
          <w:sz w:val="22"/>
          <w:szCs w:val="22"/>
        </w:rPr>
        <w:t xml:space="preserve"> – for numerous reasons -</w:t>
      </w:r>
      <w:r w:rsidR="0028422A" w:rsidRPr="00266E6B">
        <w:rPr>
          <w:rFonts w:ascii="Calibri" w:hAnsi="Calibri" w:cs="Calibri"/>
          <w:color w:val="000000"/>
          <w:kern w:val="0"/>
          <w:sz w:val="22"/>
          <w:szCs w:val="22"/>
        </w:rPr>
        <w:t xml:space="preserve"> parent</w:t>
      </w:r>
      <w:r w:rsidR="00C839EC" w:rsidRPr="00266E6B">
        <w:rPr>
          <w:rFonts w:ascii="Calibri" w:hAnsi="Calibri" w:cs="Calibri"/>
          <w:color w:val="000000"/>
          <w:kern w:val="0"/>
          <w:sz w:val="22"/>
          <w:szCs w:val="22"/>
        </w:rPr>
        <w:t>s</w:t>
      </w:r>
      <w:r w:rsidR="0028422A" w:rsidRPr="00266E6B">
        <w:rPr>
          <w:rFonts w:ascii="Calibri" w:hAnsi="Calibri" w:cs="Calibri"/>
          <w:color w:val="000000"/>
          <w:kern w:val="0"/>
          <w:sz w:val="22"/>
          <w:szCs w:val="22"/>
        </w:rPr>
        <w:t xml:space="preserve"> and guardians do not always represent children’s interests appropriately. </w:t>
      </w:r>
      <w:r w:rsidR="000A13BB" w:rsidRPr="00266E6B">
        <w:rPr>
          <w:rFonts w:ascii="Calibri" w:hAnsi="Calibri" w:cs="Calibri"/>
          <w:color w:val="000000"/>
          <w:kern w:val="0"/>
          <w:sz w:val="22"/>
          <w:szCs w:val="22"/>
        </w:rPr>
        <w:t xml:space="preserve">If the Commission </w:t>
      </w:r>
      <w:r w:rsidR="00FF0D03" w:rsidRPr="00266E6B">
        <w:rPr>
          <w:rFonts w:ascii="Calibri" w:hAnsi="Calibri" w:cs="Calibri"/>
          <w:color w:val="000000"/>
          <w:kern w:val="0"/>
          <w:sz w:val="22"/>
          <w:szCs w:val="22"/>
        </w:rPr>
        <w:t>recommend that parents/guardians can apply on behalf of a child,</w:t>
      </w:r>
      <w:r w:rsidR="000A13BB" w:rsidRPr="00266E6B">
        <w:rPr>
          <w:rFonts w:ascii="Calibri" w:hAnsi="Calibri" w:cs="Calibri"/>
          <w:color w:val="000000"/>
          <w:kern w:val="0"/>
          <w:sz w:val="22"/>
          <w:szCs w:val="22"/>
        </w:rPr>
        <w:t xml:space="preserve"> we </w:t>
      </w:r>
      <w:proofErr w:type="gramStart"/>
      <w:r w:rsidR="000A13BB" w:rsidRPr="00266E6B">
        <w:rPr>
          <w:rFonts w:ascii="Calibri" w:hAnsi="Calibri" w:cs="Calibri"/>
          <w:color w:val="000000"/>
          <w:kern w:val="0"/>
          <w:sz w:val="22"/>
          <w:szCs w:val="22"/>
        </w:rPr>
        <w:t>would</w:t>
      </w:r>
      <w:proofErr w:type="gramEnd"/>
      <w:r w:rsidR="000A13BB" w:rsidRPr="00266E6B">
        <w:rPr>
          <w:rFonts w:ascii="Calibri" w:hAnsi="Calibri" w:cs="Calibri"/>
          <w:color w:val="000000"/>
          <w:kern w:val="0"/>
          <w:sz w:val="22"/>
          <w:szCs w:val="22"/>
        </w:rPr>
        <w:t xml:space="preserve"> emphasise th</w:t>
      </w:r>
      <w:r w:rsidR="00AC105C" w:rsidRPr="00266E6B">
        <w:rPr>
          <w:rFonts w:ascii="Calibri" w:hAnsi="Calibri" w:cs="Calibri"/>
          <w:color w:val="000000"/>
          <w:kern w:val="0"/>
          <w:sz w:val="22"/>
          <w:szCs w:val="22"/>
        </w:rPr>
        <w:t>at it is imperative that the</w:t>
      </w:r>
      <w:r w:rsidR="000A13BB" w:rsidRPr="00266E6B">
        <w:rPr>
          <w:rFonts w:ascii="Calibri" w:hAnsi="Calibri" w:cs="Calibri"/>
          <w:color w:val="000000"/>
          <w:kern w:val="0"/>
          <w:sz w:val="22"/>
          <w:szCs w:val="22"/>
        </w:rPr>
        <w:t xml:space="preserve"> the court hear</w:t>
      </w:r>
      <w:r w:rsidR="00AC105C" w:rsidRPr="00266E6B">
        <w:rPr>
          <w:rFonts w:ascii="Calibri" w:hAnsi="Calibri" w:cs="Calibri"/>
          <w:color w:val="000000"/>
          <w:kern w:val="0"/>
          <w:sz w:val="22"/>
          <w:szCs w:val="22"/>
        </w:rPr>
        <w:t>s</w:t>
      </w:r>
      <w:r w:rsidR="000A13BB" w:rsidRPr="00266E6B">
        <w:rPr>
          <w:rFonts w:ascii="Calibri" w:hAnsi="Calibri" w:cs="Calibri"/>
          <w:color w:val="000000"/>
          <w:kern w:val="0"/>
          <w:sz w:val="22"/>
          <w:szCs w:val="22"/>
        </w:rPr>
        <w:t xml:space="preserve"> the child’s views and hear</w:t>
      </w:r>
      <w:r w:rsidR="00AC105C" w:rsidRPr="00266E6B">
        <w:rPr>
          <w:rFonts w:ascii="Calibri" w:hAnsi="Calibri" w:cs="Calibri"/>
          <w:color w:val="000000"/>
          <w:kern w:val="0"/>
          <w:sz w:val="22"/>
          <w:szCs w:val="22"/>
        </w:rPr>
        <w:t>s</w:t>
      </w:r>
      <w:r w:rsidR="000A13BB" w:rsidRPr="00266E6B">
        <w:rPr>
          <w:rFonts w:ascii="Calibri" w:hAnsi="Calibri" w:cs="Calibri"/>
          <w:color w:val="000000"/>
          <w:kern w:val="0"/>
          <w:sz w:val="22"/>
          <w:szCs w:val="22"/>
        </w:rPr>
        <w:t xml:space="preserve"> them separately. </w:t>
      </w:r>
    </w:p>
    <w:p w14:paraId="2678BEEF" w14:textId="77777777" w:rsidR="00F71F0C" w:rsidRPr="00266E6B" w:rsidRDefault="00F71F0C" w:rsidP="004F4EFA">
      <w:pPr>
        <w:autoSpaceDE w:val="0"/>
        <w:autoSpaceDN w:val="0"/>
        <w:adjustRightInd w:val="0"/>
        <w:jc w:val="both"/>
        <w:rPr>
          <w:rFonts w:ascii="Calibri" w:hAnsi="Calibri" w:cs="Calibri"/>
          <w:color w:val="000000"/>
          <w:kern w:val="0"/>
          <w:sz w:val="22"/>
          <w:szCs w:val="22"/>
        </w:rPr>
      </w:pPr>
    </w:p>
    <w:p w14:paraId="1660A893" w14:textId="25C724C0" w:rsidR="00F71F0C" w:rsidRPr="00266E6B" w:rsidRDefault="00F71F0C" w:rsidP="00F71F0C">
      <w:pPr>
        <w:autoSpaceDE w:val="0"/>
        <w:autoSpaceDN w:val="0"/>
        <w:adjustRightInd w:val="0"/>
        <w:jc w:val="both"/>
        <w:rPr>
          <w:rFonts w:ascii="Calibri" w:hAnsi="Calibri" w:cs="Calibri"/>
          <w:b/>
          <w:bCs/>
          <w:i/>
          <w:iCs/>
          <w:color w:val="000000"/>
          <w:kern w:val="0"/>
          <w:sz w:val="22"/>
          <w:szCs w:val="22"/>
        </w:rPr>
      </w:pPr>
      <w:r w:rsidRPr="00F71F0C">
        <w:rPr>
          <w:rFonts w:ascii="Calibri" w:hAnsi="Calibri" w:cs="Calibri"/>
          <w:b/>
          <w:bCs/>
          <w:i/>
          <w:iCs/>
          <w:color w:val="000000"/>
          <w:kern w:val="0"/>
          <w:sz w:val="22"/>
          <w:szCs w:val="22"/>
        </w:rPr>
        <w:t>48.</w:t>
      </w:r>
      <w:r w:rsidR="00266E6B" w:rsidRPr="00266E6B">
        <w:rPr>
          <w:rFonts w:ascii="Calibri" w:hAnsi="Calibri" w:cs="Calibri"/>
          <w:b/>
          <w:bCs/>
          <w:i/>
          <w:iCs/>
          <w:color w:val="000000"/>
          <w:kern w:val="0"/>
          <w:sz w:val="22"/>
          <w:szCs w:val="22"/>
        </w:rPr>
        <w:t xml:space="preserve"> </w:t>
      </w:r>
      <w:r w:rsidRPr="00F71F0C">
        <w:rPr>
          <w:rFonts w:ascii="Calibri" w:hAnsi="Calibri" w:cs="Calibri"/>
          <w:b/>
          <w:bCs/>
          <w:i/>
          <w:iCs/>
          <w:color w:val="000000"/>
          <w:kern w:val="0"/>
          <w:sz w:val="22"/>
          <w:szCs w:val="22"/>
        </w:rPr>
        <w:t xml:space="preserve">Do you agree that the Children (Scotland) Act 1995 should be amended so that: </w:t>
      </w:r>
    </w:p>
    <w:p w14:paraId="026D1A98" w14:textId="77777777" w:rsidR="00F71F0C" w:rsidRPr="00266E6B" w:rsidRDefault="00F71F0C" w:rsidP="00F71F0C">
      <w:pPr>
        <w:autoSpaceDE w:val="0"/>
        <w:autoSpaceDN w:val="0"/>
        <w:adjustRightInd w:val="0"/>
        <w:jc w:val="both"/>
        <w:rPr>
          <w:rFonts w:ascii="Calibri" w:hAnsi="Calibri" w:cs="Calibri"/>
          <w:b/>
          <w:bCs/>
          <w:i/>
          <w:iCs/>
          <w:color w:val="000000"/>
          <w:kern w:val="0"/>
          <w:sz w:val="22"/>
          <w:szCs w:val="22"/>
        </w:rPr>
      </w:pPr>
    </w:p>
    <w:p w14:paraId="5FD25CF7" w14:textId="2D95AC5F" w:rsidR="00F71F0C" w:rsidRPr="00266E6B" w:rsidRDefault="00F71F0C" w:rsidP="00F71F0C">
      <w:pPr>
        <w:pStyle w:val="ListParagraph"/>
        <w:numPr>
          <w:ilvl w:val="0"/>
          <w:numId w:val="9"/>
        </w:numPr>
        <w:autoSpaceDE w:val="0"/>
        <w:autoSpaceDN w:val="0"/>
        <w:adjustRightInd w:val="0"/>
        <w:jc w:val="both"/>
        <w:rPr>
          <w:rFonts w:ascii="Calibri" w:hAnsi="Calibri" w:cs="Calibri"/>
          <w:b/>
          <w:bCs/>
          <w:i/>
          <w:iCs/>
          <w:color w:val="000000"/>
          <w:kern w:val="0"/>
          <w:sz w:val="22"/>
          <w:szCs w:val="22"/>
        </w:rPr>
      </w:pPr>
      <w:r w:rsidRPr="00266E6B">
        <w:rPr>
          <w:rFonts w:ascii="Calibri" w:hAnsi="Calibri" w:cs="Calibri"/>
          <w:b/>
          <w:bCs/>
          <w:i/>
          <w:iCs/>
          <w:color w:val="000000"/>
          <w:kern w:val="0"/>
          <w:sz w:val="22"/>
          <w:szCs w:val="22"/>
        </w:rPr>
        <w:t xml:space="preserve">the court is required to provide written reasons for making an order under section 11 (such as a contact or residence order), where there is a history of domestic abuse? </w:t>
      </w:r>
    </w:p>
    <w:p w14:paraId="49E8231A" w14:textId="77777777" w:rsidR="00F71F0C" w:rsidRPr="00266E6B" w:rsidRDefault="00F71F0C" w:rsidP="00F71F0C">
      <w:pPr>
        <w:pStyle w:val="ListParagraph"/>
        <w:autoSpaceDE w:val="0"/>
        <w:autoSpaceDN w:val="0"/>
        <w:adjustRightInd w:val="0"/>
        <w:jc w:val="both"/>
        <w:rPr>
          <w:rFonts w:ascii="Calibri" w:hAnsi="Calibri" w:cs="Calibri"/>
          <w:b/>
          <w:bCs/>
          <w:color w:val="000000"/>
          <w:kern w:val="0"/>
          <w:sz w:val="22"/>
          <w:szCs w:val="22"/>
        </w:rPr>
      </w:pPr>
    </w:p>
    <w:p w14:paraId="2445491F" w14:textId="77777777" w:rsidR="00F71F0C" w:rsidRPr="00266E6B" w:rsidRDefault="00F71F0C" w:rsidP="00F71F0C">
      <w:pPr>
        <w:autoSpaceDE w:val="0"/>
        <w:autoSpaceDN w:val="0"/>
        <w:adjustRightInd w:val="0"/>
        <w:jc w:val="both"/>
        <w:rPr>
          <w:rFonts w:ascii="Calibri" w:hAnsi="Calibri" w:cs="Calibri"/>
          <w:color w:val="000000"/>
          <w:kern w:val="0"/>
          <w:sz w:val="22"/>
          <w:szCs w:val="22"/>
        </w:rPr>
      </w:pPr>
      <w:r w:rsidRPr="00F71F0C">
        <w:rPr>
          <w:rFonts w:ascii="Calibri" w:hAnsi="Calibri" w:cs="Calibri"/>
          <w:color w:val="000000"/>
          <w:kern w:val="0"/>
          <w:sz w:val="22"/>
          <w:szCs w:val="22"/>
        </w:rPr>
        <w:t xml:space="preserve">We are pleased to see this proposal, which is based on a suggestion made by Dr Cairns as part of her review of the draft Discussion Paper.  We strongly agree that the court should be required to provide written reasons for making an order under s 11 where there is a history of domestic abuse.  A significant shift in legal practice is required </w:t>
      </w:r>
      <w:proofErr w:type="gramStart"/>
      <w:r w:rsidRPr="00F71F0C">
        <w:rPr>
          <w:rFonts w:ascii="Calibri" w:hAnsi="Calibri" w:cs="Calibri"/>
          <w:color w:val="000000"/>
          <w:kern w:val="0"/>
          <w:sz w:val="22"/>
          <w:szCs w:val="22"/>
        </w:rPr>
        <w:t>in order to</w:t>
      </w:r>
      <w:proofErr w:type="gramEnd"/>
      <w:r w:rsidRPr="00F71F0C">
        <w:rPr>
          <w:rFonts w:ascii="Calibri" w:hAnsi="Calibri" w:cs="Calibri"/>
          <w:color w:val="000000"/>
          <w:kern w:val="0"/>
          <w:sz w:val="22"/>
          <w:szCs w:val="22"/>
        </w:rPr>
        <w:t xml:space="preserve"> challenge the current minimisation of domestic abuse in family law proceedings. Despite sections 11 (7A) – (7E) of the 1995 Act, it is clear that the Scottish courts struggle to fully appreciate the relevance of domestic abuse to issues of child welfare.</w:t>
      </w:r>
      <w:r w:rsidRPr="00F71F0C">
        <w:rPr>
          <w:rFonts w:ascii="Calibri" w:hAnsi="Calibri" w:cs="Calibri"/>
          <w:color w:val="000000"/>
          <w:kern w:val="0"/>
          <w:sz w:val="22"/>
          <w:szCs w:val="22"/>
          <w:vertAlign w:val="superscript"/>
        </w:rPr>
        <w:footnoteReference w:id="35"/>
      </w:r>
      <w:r w:rsidRPr="00F71F0C">
        <w:rPr>
          <w:rFonts w:ascii="Calibri" w:hAnsi="Calibri" w:cs="Calibri"/>
          <w:color w:val="000000"/>
          <w:kern w:val="0"/>
          <w:sz w:val="22"/>
          <w:szCs w:val="22"/>
        </w:rPr>
        <w:t xml:space="preserve"> Requiring written reasons when contact/residence is granted despite domestic abuse would further underscore the relevance of domestic abuse to a child welfare assessment under s 11 and would, if </w:t>
      </w:r>
      <w:r w:rsidRPr="00F71F0C">
        <w:rPr>
          <w:rFonts w:ascii="Calibri" w:hAnsi="Calibri" w:cs="Calibri"/>
          <w:color w:val="000000"/>
          <w:kern w:val="0"/>
          <w:sz w:val="22"/>
          <w:szCs w:val="22"/>
        </w:rPr>
        <w:lastRenderedPageBreak/>
        <w:t xml:space="preserve">applied properly, ensure that the courts directly consider the link between domestic abuse and harm/risk of harm to the child in individual cases. </w:t>
      </w:r>
    </w:p>
    <w:p w14:paraId="77C88636" w14:textId="77777777" w:rsidR="00F71F0C" w:rsidRPr="00F71F0C" w:rsidRDefault="00F71F0C" w:rsidP="00F71F0C">
      <w:pPr>
        <w:autoSpaceDE w:val="0"/>
        <w:autoSpaceDN w:val="0"/>
        <w:adjustRightInd w:val="0"/>
        <w:jc w:val="both"/>
        <w:rPr>
          <w:rFonts w:ascii="Calibri" w:hAnsi="Calibri" w:cs="Calibri"/>
          <w:color w:val="000000"/>
          <w:kern w:val="0"/>
          <w:sz w:val="22"/>
          <w:szCs w:val="22"/>
        </w:rPr>
      </w:pPr>
    </w:p>
    <w:p w14:paraId="1112F87D" w14:textId="77777777" w:rsidR="00F71F0C" w:rsidRPr="00266E6B" w:rsidRDefault="00F71F0C" w:rsidP="00F71F0C">
      <w:pPr>
        <w:autoSpaceDE w:val="0"/>
        <w:autoSpaceDN w:val="0"/>
        <w:adjustRightInd w:val="0"/>
        <w:jc w:val="both"/>
        <w:rPr>
          <w:rFonts w:ascii="Calibri" w:hAnsi="Calibri" w:cs="Calibri"/>
          <w:color w:val="000000"/>
          <w:kern w:val="0"/>
          <w:sz w:val="22"/>
          <w:szCs w:val="22"/>
        </w:rPr>
      </w:pPr>
      <w:r w:rsidRPr="00F71F0C">
        <w:rPr>
          <w:rFonts w:ascii="Calibri" w:hAnsi="Calibri" w:cs="Calibri"/>
          <w:color w:val="000000"/>
          <w:kern w:val="0"/>
          <w:sz w:val="22"/>
          <w:szCs w:val="22"/>
        </w:rPr>
        <w:t>The effectiveness of this requirement may depend on specific wording. For example, careful consideration will need to be given to what counts as a ‘history of domestic abuse’. Would the requirement only apply if there was a past prosecution or conviction for domestic abuse, a police report, or when it had been raised in the proceedings for the first time?  We would support it applying in all of these circumstances as in most cases the abuse will not have been reported to the police.</w:t>
      </w:r>
      <w:r w:rsidRPr="00F71F0C">
        <w:rPr>
          <w:rFonts w:ascii="Calibri" w:hAnsi="Calibri" w:cs="Calibri"/>
          <w:color w:val="000000"/>
          <w:kern w:val="0"/>
          <w:sz w:val="22"/>
          <w:szCs w:val="22"/>
          <w:vertAlign w:val="superscript"/>
        </w:rPr>
        <w:footnoteReference w:id="36"/>
      </w:r>
      <w:r w:rsidRPr="00F71F0C">
        <w:rPr>
          <w:rFonts w:ascii="Calibri" w:hAnsi="Calibri" w:cs="Calibri"/>
          <w:color w:val="000000"/>
          <w:kern w:val="0"/>
          <w:sz w:val="22"/>
          <w:szCs w:val="22"/>
        </w:rPr>
        <w:t xml:space="preserve"> Given the importance of the relevancy issue referred to above, and the familiarity of courts with relevancy assessments, the Commission might also give thought as to whether the requirement should explicitly require the court to explain why they do not consider domestic abuse to be relevant, or sufficiently relevant, to the welfare assessment and the granting of a section 11 order. The requirement should be framed in a manner that prompts the court to identify and reflect upon specific factors that justify the granting of an order despite domestic abuse being raised in the proceedings e.g. they consider the domestic abuse to be historic or a ‘one-off’ incident, they consider there to be insufficient evidence, they consider that the root cause of the perpetrator’s behaviour has been addressed.  The language of ‘safety’ or ‘risk’ might also be incorporated (see b) below) into the requirement.  </w:t>
      </w:r>
    </w:p>
    <w:p w14:paraId="22997251" w14:textId="77777777" w:rsidR="00F71F0C" w:rsidRPr="00F71F0C" w:rsidRDefault="00F71F0C" w:rsidP="00F71F0C">
      <w:pPr>
        <w:autoSpaceDE w:val="0"/>
        <w:autoSpaceDN w:val="0"/>
        <w:adjustRightInd w:val="0"/>
        <w:jc w:val="both"/>
        <w:rPr>
          <w:rFonts w:ascii="Calibri" w:hAnsi="Calibri" w:cs="Calibri"/>
          <w:color w:val="000000"/>
          <w:kern w:val="0"/>
          <w:sz w:val="22"/>
          <w:szCs w:val="22"/>
        </w:rPr>
      </w:pPr>
    </w:p>
    <w:p w14:paraId="1FD39F2A" w14:textId="77777777" w:rsidR="00F71F0C" w:rsidRPr="00266E6B" w:rsidRDefault="00F71F0C" w:rsidP="00F71F0C">
      <w:pPr>
        <w:autoSpaceDE w:val="0"/>
        <w:autoSpaceDN w:val="0"/>
        <w:adjustRightInd w:val="0"/>
        <w:jc w:val="both"/>
        <w:rPr>
          <w:rFonts w:ascii="Calibri" w:hAnsi="Calibri" w:cs="Calibri"/>
          <w:color w:val="000000"/>
          <w:kern w:val="0"/>
          <w:sz w:val="22"/>
          <w:szCs w:val="22"/>
        </w:rPr>
      </w:pPr>
      <w:r w:rsidRPr="00F71F0C">
        <w:rPr>
          <w:rFonts w:ascii="Calibri" w:hAnsi="Calibri" w:cs="Calibri"/>
          <w:color w:val="000000"/>
          <w:kern w:val="0"/>
          <w:sz w:val="22"/>
          <w:szCs w:val="22"/>
        </w:rPr>
        <w:t xml:space="preserve">Although we are very supportive of this proposal, we are also wary of the time and resource pressures that the family courts are under and think there is a risk that the giving of reasons could come to be regarded as a simple formality or ‘tick-box’ exercise without meaningful expansion of the reasons why an order is being made. We are also wary of the limits of legislative change alone and strongly agree with the Commission’s view that judicial training is required to ensure effective implementation of any changes. The accessibility of the written reasons is another matter to consider. Who will the written reasons be made available to beyond the parties themselves?  Given the lack of data and information in this area, which impedes full analysis and understanding of how the law is working, it would be very helpful if the reasons were published or made available to researchers. We acknowledge that this issue may be </w:t>
      </w:r>
      <w:proofErr w:type="spellStart"/>
      <w:r w:rsidRPr="00F71F0C">
        <w:rPr>
          <w:rFonts w:ascii="Calibri" w:hAnsi="Calibri" w:cs="Calibri"/>
          <w:color w:val="000000"/>
          <w:kern w:val="0"/>
          <w:sz w:val="22"/>
          <w:szCs w:val="22"/>
        </w:rPr>
        <w:t>outwith</w:t>
      </w:r>
      <w:proofErr w:type="spellEnd"/>
      <w:r w:rsidRPr="00F71F0C">
        <w:rPr>
          <w:rFonts w:ascii="Calibri" w:hAnsi="Calibri" w:cs="Calibri"/>
          <w:color w:val="000000"/>
          <w:kern w:val="0"/>
          <w:sz w:val="22"/>
          <w:szCs w:val="22"/>
        </w:rPr>
        <w:t xml:space="preserve"> the remit of the SLC.  </w:t>
      </w:r>
    </w:p>
    <w:p w14:paraId="27862E19" w14:textId="77777777" w:rsidR="00F71F0C" w:rsidRPr="00F71F0C" w:rsidRDefault="00F71F0C" w:rsidP="00F71F0C">
      <w:pPr>
        <w:autoSpaceDE w:val="0"/>
        <w:autoSpaceDN w:val="0"/>
        <w:adjustRightInd w:val="0"/>
        <w:jc w:val="both"/>
        <w:rPr>
          <w:rFonts w:ascii="Calibri" w:hAnsi="Calibri" w:cs="Calibri"/>
          <w:color w:val="000000"/>
          <w:kern w:val="0"/>
          <w:sz w:val="22"/>
          <w:szCs w:val="22"/>
        </w:rPr>
      </w:pPr>
    </w:p>
    <w:p w14:paraId="148DDA3D" w14:textId="195437B0" w:rsidR="00F71F0C" w:rsidRPr="00266E6B" w:rsidRDefault="00F71F0C" w:rsidP="00F71F0C">
      <w:pPr>
        <w:pStyle w:val="ListParagraph"/>
        <w:numPr>
          <w:ilvl w:val="0"/>
          <w:numId w:val="9"/>
        </w:numPr>
        <w:autoSpaceDE w:val="0"/>
        <w:autoSpaceDN w:val="0"/>
        <w:adjustRightInd w:val="0"/>
        <w:jc w:val="both"/>
        <w:rPr>
          <w:rFonts w:ascii="Calibri" w:hAnsi="Calibri" w:cs="Calibri"/>
          <w:b/>
          <w:bCs/>
          <w:i/>
          <w:iCs/>
          <w:color w:val="000000"/>
          <w:kern w:val="0"/>
          <w:sz w:val="22"/>
          <w:szCs w:val="22"/>
        </w:rPr>
      </w:pPr>
      <w:r w:rsidRPr="00266E6B">
        <w:rPr>
          <w:rFonts w:ascii="Calibri" w:hAnsi="Calibri" w:cs="Calibri"/>
          <w:b/>
          <w:bCs/>
          <w:i/>
          <w:iCs/>
          <w:color w:val="000000"/>
          <w:kern w:val="0"/>
          <w:sz w:val="22"/>
          <w:szCs w:val="22"/>
        </w:rPr>
        <w:t xml:space="preserve">the safety of the parents should be considered by the court as part of the consideration of the child’s </w:t>
      </w:r>
      <w:proofErr w:type="gramStart"/>
      <w:r w:rsidRPr="00266E6B">
        <w:rPr>
          <w:rFonts w:ascii="Calibri" w:hAnsi="Calibri" w:cs="Calibri"/>
          <w:b/>
          <w:bCs/>
          <w:i/>
          <w:iCs/>
          <w:color w:val="000000"/>
          <w:kern w:val="0"/>
          <w:sz w:val="22"/>
          <w:szCs w:val="22"/>
        </w:rPr>
        <w:t>welfare?</w:t>
      </w:r>
      <w:proofErr w:type="gramEnd"/>
    </w:p>
    <w:p w14:paraId="13BB73C0" w14:textId="77777777" w:rsidR="00F71F0C" w:rsidRPr="00266E6B" w:rsidRDefault="00F71F0C" w:rsidP="00F71F0C">
      <w:pPr>
        <w:autoSpaceDE w:val="0"/>
        <w:autoSpaceDN w:val="0"/>
        <w:adjustRightInd w:val="0"/>
        <w:ind w:left="360"/>
        <w:jc w:val="both"/>
        <w:rPr>
          <w:rFonts w:ascii="Calibri" w:hAnsi="Calibri" w:cs="Calibri"/>
          <w:i/>
          <w:iCs/>
          <w:color w:val="000000"/>
          <w:kern w:val="0"/>
          <w:sz w:val="22"/>
          <w:szCs w:val="22"/>
        </w:rPr>
      </w:pPr>
    </w:p>
    <w:p w14:paraId="20FA10AE" w14:textId="31360041" w:rsidR="00F71F0C" w:rsidRPr="00266E6B" w:rsidRDefault="00F71F0C" w:rsidP="00F71F0C">
      <w:pPr>
        <w:autoSpaceDE w:val="0"/>
        <w:autoSpaceDN w:val="0"/>
        <w:adjustRightInd w:val="0"/>
        <w:jc w:val="both"/>
        <w:rPr>
          <w:rFonts w:ascii="Calibri" w:hAnsi="Calibri" w:cs="Calibri"/>
          <w:color w:val="000000"/>
          <w:kern w:val="0"/>
          <w:sz w:val="22"/>
          <w:szCs w:val="22"/>
        </w:rPr>
      </w:pPr>
      <w:r w:rsidRPr="00F71F0C">
        <w:rPr>
          <w:rFonts w:ascii="Calibri" w:hAnsi="Calibri" w:cs="Calibri"/>
          <w:color w:val="000000"/>
          <w:kern w:val="0"/>
          <w:sz w:val="22"/>
          <w:szCs w:val="22"/>
        </w:rPr>
        <w:t xml:space="preserve">We are firmly persuaded that the safety of the parents should be considered by the court as part of the consideration of the child’s welfare.  As explored in our 2022 paper, research clearly demonstrates the interconnectedness of the harms experienced by adult and child victim/survivors and the effects of a caregiver’s physical and psychological wellbeing on the child’s welfare.  This proposal is therefore entirely consistent with the adjoined victim concept. It is also consistent with international human rights. The Discussion Paper refers to Article 31 of the Istanbul Convention, however the ECHR is also relevant here.  Recent cases have stressed the importance of good risk assessment during contact proceedings and confirmed that the human rights of both the child and victim/survivor may be breached if proper risk assessment is not carried out and contact/residence is granted in a manner that does not adequately take safety in to account (see, for example, </w:t>
      </w:r>
      <w:r w:rsidRPr="00F71F0C">
        <w:rPr>
          <w:rFonts w:ascii="Calibri" w:hAnsi="Calibri" w:cs="Calibri"/>
          <w:i/>
          <w:iCs/>
          <w:color w:val="000000"/>
          <w:kern w:val="0"/>
          <w:sz w:val="22"/>
          <w:szCs w:val="22"/>
        </w:rPr>
        <w:t>Luca v Moldova</w:t>
      </w:r>
      <w:r w:rsidRPr="00F71F0C">
        <w:rPr>
          <w:rFonts w:ascii="Calibri" w:hAnsi="Calibri" w:cs="Calibri"/>
          <w:color w:val="000000"/>
          <w:kern w:val="0"/>
          <w:sz w:val="22"/>
          <w:szCs w:val="22"/>
        </w:rPr>
        <w:t xml:space="preserve">; </w:t>
      </w:r>
      <w:r w:rsidRPr="00F71F0C">
        <w:rPr>
          <w:rFonts w:ascii="Calibri" w:hAnsi="Calibri" w:cs="Calibri"/>
          <w:i/>
          <w:iCs/>
          <w:color w:val="000000"/>
          <w:kern w:val="0"/>
          <w:sz w:val="22"/>
          <w:szCs w:val="22"/>
        </w:rPr>
        <w:t xml:space="preserve">IM v Italy; </w:t>
      </w:r>
      <w:proofErr w:type="spellStart"/>
      <w:r w:rsidRPr="00F71F0C">
        <w:rPr>
          <w:rFonts w:ascii="Calibri" w:hAnsi="Calibri" w:cs="Calibri"/>
          <w:i/>
          <w:iCs/>
          <w:color w:val="000000"/>
          <w:kern w:val="0"/>
          <w:sz w:val="22"/>
          <w:szCs w:val="22"/>
        </w:rPr>
        <w:t>Bizdiga</w:t>
      </w:r>
      <w:proofErr w:type="spellEnd"/>
      <w:r w:rsidRPr="00F71F0C">
        <w:rPr>
          <w:rFonts w:ascii="Calibri" w:hAnsi="Calibri" w:cs="Calibri"/>
          <w:i/>
          <w:iCs/>
          <w:color w:val="000000"/>
          <w:kern w:val="0"/>
          <w:sz w:val="22"/>
          <w:szCs w:val="22"/>
        </w:rPr>
        <w:t xml:space="preserve"> v Moldova</w:t>
      </w:r>
      <w:r w:rsidRPr="00F71F0C">
        <w:rPr>
          <w:rFonts w:ascii="Calibri" w:hAnsi="Calibri" w:cs="Calibri"/>
          <w:color w:val="000000"/>
          <w:kern w:val="0"/>
          <w:sz w:val="22"/>
          <w:szCs w:val="22"/>
        </w:rPr>
        <w:t>)</w:t>
      </w:r>
      <w:r w:rsidR="00266E6B" w:rsidRPr="00266E6B">
        <w:rPr>
          <w:rFonts w:ascii="Calibri" w:hAnsi="Calibri" w:cs="Calibri"/>
          <w:color w:val="000000"/>
          <w:kern w:val="0"/>
          <w:sz w:val="22"/>
          <w:szCs w:val="22"/>
        </w:rPr>
        <w:t>.</w:t>
      </w:r>
      <w:r w:rsidRPr="00F71F0C">
        <w:rPr>
          <w:rFonts w:ascii="Calibri" w:hAnsi="Calibri" w:cs="Calibri"/>
          <w:color w:val="000000"/>
          <w:kern w:val="0"/>
          <w:sz w:val="22"/>
          <w:szCs w:val="22"/>
          <w:vertAlign w:val="superscript"/>
        </w:rPr>
        <w:footnoteReference w:id="37"/>
      </w:r>
      <w:r w:rsidRPr="00F71F0C">
        <w:rPr>
          <w:rFonts w:ascii="Calibri" w:hAnsi="Calibri" w:cs="Calibri"/>
          <w:color w:val="000000"/>
          <w:kern w:val="0"/>
          <w:sz w:val="22"/>
          <w:szCs w:val="22"/>
        </w:rPr>
        <w:t xml:space="preserve"> These cases underline the importance of safety to a welfare assessment and </w:t>
      </w:r>
      <w:r w:rsidRPr="00F71F0C">
        <w:rPr>
          <w:rFonts w:ascii="Calibri" w:hAnsi="Calibri" w:cs="Calibri"/>
          <w:color w:val="000000"/>
          <w:kern w:val="0"/>
          <w:sz w:val="22"/>
          <w:szCs w:val="22"/>
        </w:rPr>
        <w:lastRenderedPageBreak/>
        <w:t xml:space="preserve">lend strength to the above proposal. Legislative recognition of adult safety in this context would, hopefully, not only factor into the court’s decision about whether to grant contact/residence at all, but also prompt consideration of how to ensure contact arrangements/handovers are safe. To ensure that adequate safety/risk assessments are carried out, we would again emphasise the importance of robust judicial training. </w:t>
      </w:r>
    </w:p>
    <w:p w14:paraId="4C562308" w14:textId="77777777" w:rsidR="00F71F0C" w:rsidRPr="00F71F0C" w:rsidRDefault="00F71F0C" w:rsidP="00F71F0C">
      <w:pPr>
        <w:autoSpaceDE w:val="0"/>
        <w:autoSpaceDN w:val="0"/>
        <w:adjustRightInd w:val="0"/>
        <w:jc w:val="both"/>
        <w:rPr>
          <w:rFonts w:ascii="Calibri" w:hAnsi="Calibri" w:cs="Calibri"/>
          <w:color w:val="000000"/>
          <w:kern w:val="0"/>
          <w:sz w:val="22"/>
          <w:szCs w:val="22"/>
        </w:rPr>
      </w:pPr>
    </w:p>
    <w:p w14:paraId="345EB7BB" w14:textId="77777777" w:rsidR="00F71F0C" w:rsidRPr="00266E6B" w:rsidRDefault="00F71F0C" w:rsidP="00F71F0C">
      <w:pPr>
        <w:autoSpaceDE w:val="0"/>
        <w:autoSpaceDN w:val="0"/>
        <w:adjustRightInd w:val="0"/>
        <w:jc w:val="both"/>
        <w:rPr>
          <w:rFonts w:ascii="Calibri" w:hAnsi="Calibri" w:cs="Calibri"/>
          <w:b/>
          <w:bCs/>
          <w:i/>
          <w:iCs/>
          <w:color w:val="000000"/>
          <w:kern w:val="0"/>
          <w:sz w:val="22"/>
          <w:szCs w:val="22"/>
        </w:rPr>
      </w:pPr>
      <w:r w:rsidRPr="00F71F0C">
        <w:rPr>
          <w:rFonts w:ascii="Calibri" w:hAnsi="Calibri" w:cs="Calibri"/>
          <w:b/>
          <w:bCs/>
          <w:i/>
          <w:iCs/>
          <w:color w:val="000000"/>
          <w:kern w:val="0"/>
          <w:sz w:val="22"/>
          <w:szCs w:val="22"/>
        </w:rPr>
        <w:t>49. Are there any other ways of ensuring the safety of the child and of the victim/survivor is considered by the court in making orders under section 11 of the 1995 Act? (Paragraph 7.141)</w:t>
      </w:r>
    </w:p>
    <w:p w14:paraId="02E885A2" w14:textId="77777777" w:rsidR="00F71F0C" w:rsidRPr="00F71F0C" w:rsidRDefault="00F71F0C" w:rsidP="00F71F0C">
      <w:pPr>
        <w:autoSpaceDE w:val="0"/>
        <w:autoSpaceDN w:val="0"/>
        <w:adjustRightInd w:val="0"/>
        <w:jc w:val="both"/>
        <w:rPr>
          <w:rFonts w:ascii="Calibri" w:hAnsi="Calibri" w:cs="Calibri"/>
          <w:b/>
          <w:bCs/>
          <w:color w:val="000000"/>
          <w:kern w:val="0"/>
          <w:sz w:val="22"/>
          <w:szCs w:val="22"/>
        </w:rPr>
      </w:pPr>
    </w:p>
    <w:p w14:paraId="30BB5694" w14:textId="77777777" w:rsidR="00F71F0C" w:rsidRPr="00266E6B" w:rsidRDefault="00F71F0C" w:rsidP="00F71F0C">
      <w:pPr>
        <w:autoSpaceDE w:val="0"/>
        <w:autoSpaceDN w:val="0"/>
        <w:adjustRightInd w:val="0"/>
        <w:jc w:val="both"/>
        <w:rPr>
          <w:rFonts w:ascii="Calibri" w:hAnsi="Calibri" w:cs="Calibri"/>
          <w:color w:val="000000"/>
          <w:kern w:val="0"/>
          <w:sz w:val="22"/>
          <w:szCs w:val="22"/>
        </w:rPr>
      </w:pPr>
      <w:r w:rsidRPr="00F71F0C">
        <w:rPr>
          <w:rFonts w:ascii="Calibri" w:hAnsi="Calibri" w:cs="Calibri"/>
          <w:color w:val="000000"/>
          <w:kern w:val="0"/>
          <w:sz w:val="22"/>
          <w:szCs w:val="22"/>
        </w:rPr>
        <w:t xml:space="preserve">As noted above, recent </w:t>
      </w:r>
      <w:proofErr w:type="spellStart"/>
      <w:r w:rsidRPr="00F71F0C">
        <w:rPr>
          <w:rFonts w:ascii="Calibri" w:hAnsi="Calibri" w:cs="Calibri"/>
          <w:color w:val="000000"/>
          <w:kern w:val="0"/>
          <w:sz w:val="22"/>
          <w:szCs w:val="22"/>
        </w:rPr>
        <w:t>ECrtHR</w:t>
      </w:r>
      <w:proofErr w:type="spellEnd"/>
      <w:r w:rsidRPr="00F71F0C">
        <w:rPr>
          <w:rFonts w:ascii="Calibri" w:hAnsi="Calibri" w:cs="Calibri"/>
          <w:color w:val="000000"/>
          <w:kern w:val="0"/>
          <w:sz w:val="22"/>
          <w:szCs w:val="22"/>
        </w:rPr>
        <w:t xml:space="preserve"> cases have made clear that courts risk breaching the human rights of victim/survivors (adults and children) if they do not adequately take protection and safety into account in family law cases involving domestic abuse. In addition to Article 8, Articles 3 and 14 may be relevant (</w:t>
      </w:r>
      <w:r w:rsidRPr="00F71F0C">
        <w:rPr>
          <w:rFonts w:ascii="Calibri" w:hAnsi="Calibri" w:cs="Calibri"/>
          <w:i/>
          <w:iCs/>
          <w:color w:val="000000"/>
          <w:kern w:val="0"/>
          <w:sz w:val="22"/>
          <w:szCs w:val="22"/>
        </w:rPr>
        <w:t>Luca v Moldova).</w:t>
      </w:r>
      <w:r w:rsidRPr="00F71F0C">
        <w:rPr>
          <w:rFonts w:ascii="Calibri" w:hAnsi="Calibri" w:cs="Calibri"/>
          <w:color w:val="000000"/>
          <w:kern w:val="0"/>
          <w:sz w:val="22"/>
          <w:szCs w:val="22"/>
        </w:rPr>
        <w:t xml:space="preserve"> In our view, this justifies a legislative focus on these issues and would not unduly infringe on the Art 8 rights of the other party. At present, the balance is tipped too far the other way and urgent reform is needed to ensure that greater weight is attached to issues of safety and protection in contact/residence disputes.      </w:t>
      </w:r>
    </w:p>
    <w:p w14:paraId="748861CA" w14:textId="77777777" w:rsidR="00266E6B" w:rsidRPr="00F71F0C" w:rsidRDefault="00266E6B" w:rsidP="00F71F0C">
      <w:pPr>
        <w:autoSpaceDE w:val="0"/>
        <w:autoSpaceDN w:val="0"/>
        <w:adjustRightInd w:val="0"/>
        <w:jc w:val="both"/>
        <w:rPr>
          <w:rFonts w:ascii="Calibri" w:hAnsi="Calibri" w:cs="Calibri"/>
          <w:color w:val="000000"/>
          <w:kern w:val="0"/>
          <w:sz w:val="22"/>
          <w:szCs w:val="22"/>
        </w:rPr>
      </w:pPr>
    </w:p>
    <w:p w14:paraId="1DF536D9" w14:textId="77777777" w:rsidR="00F71F0C" w:rsidRPr="00266E6B" w:rsidRDefault="00F71F0C" w:rsidP="00F71F0C">
      <w:pPr>
        <w:autoSpaceDE w:val="0"/>
        <w:autoSpaceDN w:val="0"/>
        <w:adjustRightInd w:val="0"/>
        <w:jc w:val="both"/>
        <w:rPr>
          <w:rFonts w:ascii="Calibri" w:hAnsi="Calibri" w:cs="Calibri"/>
          <w:color w:val="000000"/>
          <w:kern w:val="0"/>
          <w:sz w:val="22"/>
          <w:szCs w:val="22"/>
        </w:rPr>
      </w:pPr>
      <w:r w:rsidRPr="00F71F0C">
        <w:rPr>
          <w:rFonts w:ascii="Calibri" w:hAnsi="Calibri" w:cs="Calibri"/>
          <w:color w:val="000000"/>
          <w:kern w:val="0"/>
          <w:sz w:val="22"/>
          <w:szCs w:val="22"/>
        </w:rPr>
        <w:t xml:space="preserve">The Commission might therefore also give thought as to whether the legislative requirement to provide written reasons (discussed in part a) above) should explicitly reference safety (in addition to or instead of relevance).  For example, a court granting a section 11 order could be required to demonstrate how they have reached the conclusion that the child and caregiver will be safe despite domestic abuse being raised in the proceedings. </w:t>
      </w:r>
    </w:p>
    <w:p w14:paraId="712424C2" w14:textId="77777777" w:rsidR="00266E6B" w:rsidRPr="00F71F0C" w:rsidRDefault="00266E6B" w:rsidP="00F71F0C">
      <w:pPr>
        <w:autoSpaceDE w:val="0"/>
        <w:autoSpaceDN w:val="0"/>
        <w:adjustRightInd w:val="0"/>
        <w:jc w:val="both"/>
        <w:rPr>
          <w:rFonts w:ascii="Calibri" w:hAnsi="Calibri" w:cs="Calibri"/>
          <w:color w:val="000000"/>
          <w:kern w:val="0"/>
          <w:sz w:val="22"/>
          <w:szCs w:val="22"/>
        </w:rPr>
      </w:pPr>
    </w:p>
    <w:p w14:paraId="6345D675" w14:textId="77777777" w:rsidR="00F71F0C" w:rsidRPr="00266E6B" w:rsidRDefault="00F71F0C" w:rsidP="00F71F0C">
      <w:pPr>
        <w:autoSpaceDE w:val="0"/>
        <w:autoSpaceDN w:val="0"/>
        <w:adjustRightInd w:val="0"/>
        <w:jc w:val="both"/>
        <w:rPr>
          <w:rFonts w:ascii="Calibri" w:hAnsi="Calibri" w:cs="Calibri"/>
          <w:color w:val="000000"/>
          <w:kern w:val="0"/>
          <w:sz w:val="22"/>
          <w:szCs w:val="22"/>
        </w:rPr>
      </w:pPr>
      <w:r w:rsidRPr="00F71F0C">
        <w:rPr>
          <w:rFonts w:ascii="Calibri" w:hAnsi="Calibri" w:cs="Calibri"/>
          <w:color w:val="000000"/>
          <w:kern w:val="0"/>
          <w:sz w:val="22"/>
          <w:szCs w:val="22"/>
        </w:rPr>
        <w:t>At para 7.117, the Commission notes that ‘recognising children as adjoined victim/survivors of domestic abuse for the purposes of civil remedies against such abuse could act as further impetus for the family courts to recognise domestic abuse as a critical factor in its assessment of the child’s best interests in decisions about contact.’ As we suggest in our 2022 paper, recognising children as adjoined victims is critical part of ensuring that domestic abuse is placed front and centre in assessments of what is in a child’s best interests, and therefore to bringing about change in this area. At present, all available evidence, in Scotland and elsewhere, suggests that courts view the perceived benefits of contact to the child as outweighing the risks</w:t>
      </w:r>
      <w:r w:rsidRPr="00F71F0C">
        <w:rPr>
          <w:rFonts w:ascii="Calibri" w:hAnsi="Calibri" w:cs="Calibri"/>
          <w:color w:val="000000"/>
          <w:kern w:val="0"/>
          <w:sz w:val="22"/>
          <w:szCs w:val="22"/>
          <w:vertAlign w:val="superscript"/>
        </w:rPr>
        <w:footnoteReference w:id="38"/>
      </w:r>
      <w:r w:rsidRPr="00F71F0C">
        <w:rPr>
          <w:rFonts w:ascii="Calibri" w:hAnsi="Calibri" w:cs="Calibri"/>
          <w:color w:val="000000"/>
          <w:kern w:val="0"/>
          <w:sz w:val="22"/>
          <w:szCs w:val="22"/>
        </w:rPr>
        <w:t xml:space="preserve"> and that children’s voiced experiences of abuse are marginalised.</w:t>
      </w:r>
      <w:r w:rsidRPr="00F71F0C">
        <w:rPr>
          <w:rFonts w:ascii="Calibri" w:hAnsi="Calibri" w:cs="Calibri"/>
          <w:color w:val="000000"/>
          <w:kern w:val="0"/>
          <w:sz w:val="22"/>
          <w:szCs w:val="22"/>
          <w:vertAlign w:val="superscript"/>
        </w:rPr>
        <w:footnoteReference w:id="39"/>
      </w:r>
      <w:r w:rsidRPr="00F71F0C">
        <w:rPr>
          <w:rFonts w:ascii="Calibri" w:hAnsi="Calibri" w:cs="Calibri"/>
          <w:color w:val="000000"/>
          <w:kern w:val="0"/>
          <w:sz w:val="22"/>
          <w:szCs w:val="22"/>
        </w:rPr>
        <w:t xml:space="preserve"> This is of great concern given that researchers have pointed out that concerns about domestic abuse are behind many if not most contested contact cases that go to court.</w:t>
      </w:r>
      <w:r w:rsidRPr="00F71F0C">
        <w:rPr>
          <w:rFonts w:ascii="Calibri" w:hAnsi="Calibri" w:cs="Calibri"/>
          <w:color w:val="000000"/>
          <w:kern w:val="0"/>
          <w:sz w:val="22"/>
          <w:szCs w:val="22"/>
          <w:vertAlign w:val="superscript"/>
        </w:rPr>
        <w:footnoteReference w:id="40"/>
      </w:r>
      <w:r w:rsidRPr="00F71F0C">
        <w:rPr>
          <w:rFonts w:ascii="Calibri" w:hAnsi="Calibri" w:cs="Calibri"/>
          <w:color w:val="000000"/>
          <w:kern w:val="0"/>
          <w:sz w:val="22"/>
          <w:szCs w:val="22"/>
        </w:rPr>
        <w:t xml:space="preserve"> Moreover, given the documented risk of harm to the child, it is extremely concerning to us that courts do not regard domestic abuse as antithetical to a child’s best interests and more robustly probe reports of domestic abuse.  Redressing the imbalance in this area will, in our view, only occur when the harms caused to children by domestic abuse are properly recognised and taken seriously.  Legislative recognition of children as adjoined victims, and the attachment of meaningful legal consequences to this status, would represent a direct challenge to the notion that domestic abuse is an adult matter and make it more difficult to minimise the risks to the child of contact with a perpetrator of domestic abuse.  </w:t>
      </w:r>
    </w:p>
    <w:p w14:paraId="154F7292" w14:textId="77777777" w:rsidR="00266E6B" w:rsidRPr="00F71F0C" w:rsidRDefault="00266E6B" w:rsidP="00F71F0C">
      <w:pPr>
        <w:autoSpaceDE w:val="0"/>
        <w:autoSpaceDN w:val="0"/>
        <w:adjustRightInd w:val="0"/>
        <w:jc w:val="both"/>
        <w:rPr>
          <w:rFonts w:ascii="Calibri" w:hAnsi="Calibri" w:cs="Calibri"/>
          <w:color w:val="000000"/>
          <w:kern w:val="0"/>
          <w:sz w:val="22"/>
          <w:szCs w:val="22"/>
        </w:rPr>
      </w:pPr>
    </w:p>
    <w:p w14:paraId="0941261E" w14:textId="77777777" w:rsidR="00F71F0C" w:rsidRPr="00F71F0C" w:rsidRDefault="00F71F0C" w:rsidP="00F71F0C">
      <w:pPr>
        <w:autoSpaceDE w:val="0"/>
        <w:autoSpaceDN w:val="0"/>
        <w:adjustRightInd w:val="0"/>
        <w:jc w:val="both"/>
        <w:rPr>
          <w:rFonts w:ascii="Calibri" w:hAnsi="Calibri" w:cs="Calibri"/>
          <w:color w:val="000000"/>
          <w:kern w:val="0"/>
          <w:sz w:val="22"/>
          <w:szCs w:val="22"/>
        </w:rPr>
      </w:pPr>
      <w:r w:rsidRPr="00F71F0C">
        <w:rPr>
          <w:rFonts w:ascii="Calibri" w:hAnsi="Calibri" w:cs="Calibri"/>
          <w:color w:val="000000"/>
          <w:kern w:val="0"/>
          <w:sz w:val="22"/>
          <w:szCs w:val="22"/>
        </w:rPr>
        <w:t xml:space="preserve">We note that the Discussion Paper provides limited detail on how non-harassment orders granted by a civil court may apply to children and wonder whether there is scope for any legal reform here.  One </w:t>
      </w:r>
      <w:r w:rsidRPr="00F71F0C">
        <w:rPr>
          <w:rFonts w:ascii="Calibri" w:hAnsi="Calibri" w:cs="Calibri"/>
          <w:color w:val="000000"/>
          <w:kern w:val="0"/>
          <w:sz w:val="22"/>
          <w:szCs w:val="22"/>
        </w:rPr>
        <w:lastRenderedPageBreak/>
        <w:t xml:space="preserve">potential reform, for example, would be to amend section 8 of the Protection from Harassment Act 1997 to reference to children.  This may not be hugely significant in practice, given that Scots law is already clear that that non-harassment orders </w:t>
      </w:r>
      <w:r w:rsidRPr="00F71F0C">
        <w:rPr>
          <w:rFonts w:ascii="Calibri" w:hAnsi="Calibri" w:cs="Calibri"/>
          <w:i/>
          <w:iCs/>
          <w:color w:val="000000"/>
          <w:kern w:val="0"/>
          <w:sz w:val="22"/>
          <w:szCs w:val="22"/>
        </w:rPr>
        <w:t xml:space="preserve">can </w:t>
      </w:r>
      <w:r w:rsidRPr="00F71F0C">
        <w:rPr>
          <w:rFonts w:ascii="Calibri" w:hAnsi="Calibri" w:cs="Calibri"/>
          <w:color w:val="000000"/>
          <w:kern w:val="0"/>
          <w:sz w:val="22"/>
          <w:szCs w:val="22"/>
        </w:rPr>
        <w:t>cover children,</w:t>
      </w:r>
      <w:r w:rsidRPr="00F71F0C">
        <w:rPr>
          <w:rFonts w:ascii="Calibri" w:hAnsi="Calibri" w:cs="Calibri"/>
          <w:color w:val="000000"/>
          <w:kern w:val="0"/>
          <w:sz w:val="22"/>
          <w:szCs w:val="22"/>
          <w:vertAlign w:val="superscript"/>
        </w:rPr>
        <w:footnoteReference w:id="41"/>
      </w:r>
      <w:r w:rsidRPr="00F71F0C">
        <w:rPr>
          <w:rFonts w:ascii="Calibri" w:hAnsi="Calibri" w:cs="Calibri"/>
          <w:color w:val="000000"/>
          <w:kern w:val="0"/>
          <w:sz w:val="22"/>
          <w:szCs w:val="22"/>
        </w:rPr>
        <w:t xml:space="preserve"> but such a change would be in line with the push to make domestic abuse legislation more inclusive of children and could be used as an opportunity to codify existing law and practice.  The Commission may also want to consider whether to mention non-harassment orders when referring to the civil orders that an adjoined victim could apply for (paras 7.49 – 7.52).</w:t>
      </w:r>
      <w:r w:rsidRPr="00F71F0C">
        <w:rPr>
          <w:rFonts w:ascii="Calibri" w:hAnsi="Calibri" w:cs="Calibri"/>
          <w:color w:val="000000"/>
          <w:kern w:val="0"/>
          <w:sz w:val="22"/>
          <w:szCs w:val="22"/>
          <w:vertAlign w:val="superscript"/>
        </w:rPr>
        <w:footnoteReference w:id="42"/>
      </w:r>
      <w:r w:rsidRPr="00F71F0C">
        <w:rPr>
          <w:rFonts w:ascii="Calibri" w:hAnsi="Calibri" w:cs="Calibri"/>
          <w:color w:val="000000"/>
          <w:kern w:val="0"/>
          <w:sz w:val="22"/>
          <w:szCs w:val="22"/>
        </w:rPr>
        <w:t xml:space="preserve"> </w:t>
      </w:r>
    </w:p>
    <w:p w14:paraId="235FF7AF" w14:textId="77777777" w:rsidR="00F71F0C" w:rsidRPr="00F71F0C" w:rsidRDefault="00F71F0C" w:rsidP="00F71F0C">
      <w:pPr>
        <w:autoSpaceDE w:val="0"/>
        <w:autoSpaceDN w:val="0"/>
        <w:adjustRightInd w:val="0"/>
        <w:jc w:val="both"/>
        <w:rPr>
          <w:rFonts w:ascii="Calibri" w:hAnsi="Calibri" w:cs="Calibri"/>
          <w:color w:val="000000"/>
          <w:kern w:val="0"/>
          <w:sz w:val="22"/>
          <w:szCs w:val="22"/>
        </w:rPr>
      </w:pPr>
    </w:p>
    <w:p w14:paraId="4D9F5866" w14:textId="77777777" w:rsidR="00F71F0C" w:rsidRPr="00266E6B" w:rsidRDefault="00F71F0C" w:rsidP="004F4EFA">
      <w:pPr>
        <w:autoSpaceDE w:val="0"/>
        <w:autoSpaceDN w:val="0"/>
        <w:adjustRightInd w:val="0"/>
        <w:jc w:val="both"/>
        <w:rPr>
          <w:rFonts w:ascii="Calibri" w:hAnsi="Calibri" w:cs="Calibri"/>
          <w:color w:val="000000"/>
          <w:kern w:val="0"/>
          <w:sz w:val="22"/>
          <w:szCs w:val="22"/>
        </w:rPr>
      </w:pPr>
    </w:p>
    <w:p w14:paraId="0B00D726" w14:textId="77777777" w:rsidR="005F34A7" w:rsidRPr="00266E6B" w:rsidRDefault="005F34A7" w:rsidP="0084788A">
      <w:pPr>
        <w:autoSpaceDE w:val="0"/>
        <w:autoSpaceDN w:val="0"/>
        <w:adjustRightInd w:val="0"/>
        <w:jc w:val="both"/>
        <w:rPr>
          <w:rFonts w:ascii="Calibri" w:hAnsi="Calibri" w:cs="Calibri"/>
          <w:kern w:val="0"/>
          <w:sz w:val="22"/>
          <w:szCs w:val="22"/>
        </w:rPr>
      </w:pPr>
    </w:p>
    <w:p w14:paraId="3DB99410" w14:textId="77777777" w:rsidR="0031168C" w:rsidRPr="00266E6B" w:rsidRDefault="0031168C" w:rsidP="0084788A">
      <w:pPr>
        <w:autoSpaceDE w:val="0"/>
        <w:autoSpaceDN w:val="0"/>
        <w:adjustRightInd w:val="0"/>
        <w:jc w:val="both"/>
        <w:rPr>
          <w:rFonts w:ascii="Calibri" w:hAnsi="Calibri" w:cs="Calibri"/>
          <w:kern w:val="0"/>
          <w:sz w:val="22"/>
          <w:szCs w:val="22"/>
        </w:rPr>
      </w:pPr>
    </w:p>
    <w:p w14:paraId="55E7AAB8" w14:textId="41B2715D" w:rsidR="001400AC" w:rsidRPr="00266E6B" w:rsidRDefault="0084788A">
      <w:pPr>
        <w:rPr>
          <w:rFonts w:ascii="Calibri" w:hAnsi="Calibri" w:cs="Calibri"/>
          <w:sz w:val="22"/>
          <w:szCs w:val="22"/>
        </w:rPr>
      </w:pPr>
      <w:r w:rsidRPr="00266E6B">
        <w:rPr>
          <w:rFonts w:ascii="Calibri" w:hAnsi="Calibri" w:cs="Calibri"/>
          <w:sz w:val="22"/>
          <w:szCs w:val="22"/>
        </w:rPr>
        <w:t xml:space="preserve"> </w:t>
      </w:r>
    </w:p>
    <w:sectPr w:rsidR="001400AC" w:rsidRPr="00266E6B" w:rsidSect="00355A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5BCB9" w14:textId="77777777" w:rsidR="00B35CFB" w:rsidRDefault="00B35CFB" w:rsidP="000A7032">
      <w:r>
        <w:separator/>
      </w:r>
    </w:p>
  </w:endnote>
  <w:endnote w:type="continuationSeparator" w:id="0">
    <w:p w14:paraId="1FF165D6" w14:textId="77777777" w:rsidR="00B35CFB" w:rsidRDefault="00B35CFB" w:rsidP="000A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7B3F6" w14:textId="77777777" w:rsidR="00B35CFB" w:rsidRDefault="00B35CFB" w:rsidP="000A7032">
      <w:r>
        <w:separator/>
      </w:r>
    </w:p>
  </w:footnote>
  <w:footnote w:type="continuationSeparator" w:id="0">
    <w:p w14:paraId="0466C8FC" w14:textId="77777777" w:rsidR="00B35CFB" w:rsidRDefault="00B35CFB" w:rsidP="000A7032">
      <w:r>
        <w:continuationSeparator/>
      </w:r>
    </w:p>
  </w:footnote>
  <w:footnote w:id="1">
    <w:p w14:paraId="3697B648" w14:textId="2C0120B1" w:rsidR="00971046" w:rsidRPr="00266E6B" w:rsidRDefault="00971046" w:rsidP="00686DF8">
      <w:pPr>
        <w:pStyle w:val="FootnoteText"/>
        <w:jc w:val="both"/>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I Cairns and I Callander, </w:t>
      </w:r>
      <w:r w:rsidR="00490981" w:rsidRPr="00266E6B">
        <w:rPr>
          <w:rFonts w:ascii="Calibri" w:hAnsi="Calibri" w:cs="Calibri"/>
        </w:rPr>
        <w:t>‘</w:t>
      </w:r>
      <w:r w:rsidRPr="00266E6B">
        <w:rPr>
          <w:rFonts w:ascii="Calibri" w:hAnsi="Calibri" w:cs="Calibri"/>
        </w:rPr>
        <w:t xml:space="preserve">‘Gold </w:t>
      </w:r>
      <w:r w:rsidR="00490981" w:rsidRPr="00266E6B">
        <w:rPr>
          <w:rFonts w:ascii="Calibri" w:hAnsi="Calibri" w:cs="Calibri"/>
        </w:rPr>
        <w:t>Standard’</w:t>
      </w:r>
      <w:r w:rsidR="00D74CA7" w:rsidRPr="00266E6B">
        <w:rPr>
          <w:rFonts w:ascii="Calibri" w:hAnsi="Calibri" w:cs="Calibri"/>
        </w:rPr>
        <w:t xml:space="preserve"> </w:t>
      </w:r>
      <w:r w:rsidRPr="00266E6B">
        <w:rPr>
          <w:rFonts w:ascii="Calibri" w:hAnsi="Calibri" w:cs="Calibri"/>
        </w:rPr>
        <w:t>Legislation for Adults Only: Reconceptualising Children as ‘Adjoined Victims' Under the Domestic Abuse (Scotland) Act 2018.</w:t>
      </w:r>
      <w:r w:rsidR="00490981" w:rsidRPr="00266E6B">
        <w:rPr>
          <w:rFonts w:ascii="Calibri" w:hAnsi="Calibri" w:cs="Calibri"/>
        </w:rPr>
        <w:t>’</w:t>
      </w:r>
      <w:r w:rsidRPr="00266E6B">
        <w:rPr>
          <w:rFonts w:ascii="Calibri" w:hAnsi="Calibri" w:cs="Calibri"/>
        </w:rPr>
        <w:t> (2022) 31(6)</w:t>
      </w:r>
      <w:r w:rsidR="00642EC9" w:rsidRPr="00266E6B">
        <w:rPr>
          <w:rFonts w:ascii="Calibri" w:hAnsi="Calibri" w:cs="Calibri"/>
        </w:rPr>
        <w:t xml:space="preserve"> </w:t>
      </w:r>
      <w:r w:rsidRPr="00266E6B">
        <w:rPr>
          <w:rFonts w:ascii="Calibri" w:hAnsi="Calibri" w:cs="Calibri"/>
        </w:rPr>
        <w:t xml:space="preserve">Social &amp; Legal Studies 914, p. 921. </w:t>
      </w:r>
    </w:p>
  </w:footnote>
  <w:footnote w:id="2">
    <w:p w14:paraId="66BF3DBC" w14:textId="519F8616" w:rsidR="00971046" w:rsidRPr="00266E6B" w:rsidRDefault="00971046" w:rsidP="00686DF8">
      <w:pPr>
        <w:pStyle w:val="FootnoteText"/>
        <w:jc w:val="both"/>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See I Cairns and I Callander, </w:t>
      </w:r>
      <w:r w:rsidR="00490981" w:rsidRPr="00266E6B">
        <w:rPr>
          <w:rFonts w:ascii="Calibri" w:hAnsi="Calibri" w:cs="Calibri"/>
        </w:rPr>
        <w:t xml:space="preserve">‘‘Gold Standard’ Legislation for Adults Only: Reconceptualising Children as ‘Adjoined Victims' Under the Domestic Abuse (Scotland) Act 2018.’ </w:t>
      </w:r>
      <w:r w:rsidRPr="00266E6B">
        <w:rPr>
          <w:rFonts w:ascii="Calibri" w:hAnsi="Calibri" w:cs="Calibri"/>
        </w:rPr>
        <w:t>(2022) 31(6)</w:t>
      </w:r>
      <w:r w:rsidR="00642EC9" w:rsidRPr="00266E6B">
        <w:rPr>
          <w:rFonts w:ascii="Calibri" w:hAnsi="Calibri" w:cs="Calibri"/>
        </w:rPr>
        <w:t xml:space="preserve"> </w:t>
      </w:r>
      <w:r w:rsidRPr="00266E6B">
        <w:rPr>
          <w:rFonts w:ascii="Calibri" w:hAnsi="Calibri" w:cs="Calibri"/>
        </w:rPr>
        <w:t>Social &amp; Legal Studies 914, p.920-921.</w:t>
      </w:r>
    </w:p>
  </w:footnote>
  <w:footnote w:id="3">
    <w:p w14:paraId="15342FE3" w14:textId="288C971F" w:rsidR="00B152C2" w:rsidRPr="00266E6B" w:rsidRDefault="00B152C2" w:rsidP="00B152C2">
      <w:pPr>
        <w:pStyle w:val="FootnoteText"/>
        <w:jc w:val="both"/>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See I Cairns and I Callander, </w:t>
      </w:r>
      <w:r w:rsidR="00490981" w:rsidRPr="00266E6B">
        <w:rPr>
          <w:rFonts w:ascii="Calibri" w:hAnsi="Calibri" w:cs="Calibri"/>
        </w:rPr>
        <w:t xml:space="preserve">‘‘Gold Standard’ Legislation for Adults Only: Reconceptualising Children as ‘Adjoined Victims' Under the Domestic Abuse (Scotland) Act 2018.’ </w:t>
      </w:r>
      <w:r w:rsidRPr="00266E6B">
        <w:rPr>
          <w:rFonts w:ascii="Calibri" w:hAnsi="Calibri" w:cs="Calibri"/>
        </w:rPr>
        <w:t>(2022) 31</w:t>
      </w:r>
      <w:r w:rsidR="00642EC9" w:rsidRPr="00266E6B">
        <w:rPr>
          <w:rFonts w:ascii="Calibri" w:hAnsi="Calibri" w:cs="Calibri"/>
        </w:rPr>
        <w:t>(</w:t>
      </w:r>
      <w:r w:rsidRPr="00266E6B">
        <w:rPr>
          <w:rFonts w:ascii="Calibri" w:hAnsi="Calibri" w:cs="Calibri"/>
        </w:rPr>
        <w:t>6)</w:t>
      </w:r>
      <w:r w:rsidR="00642EC9" w:rsidRPr="00266E6B">
        <w:rPr>
          <w:rFonts w:ascii="Calibri" w:hAnsi="Calibri" w:cs="Calibri"/>
        </w:rPr>
        <w:t xml:space="preserve"> </w:t>
      </w:r>
      <w:r w:rsidRPr="00266E6B">
        <w:rPr>
          <w:rFonts w:ascii="Calibri" w:hAnsi="Calibri" w:cs="Calibri"/>
        </w:rPr>
        <w:t>Social &amp; Legal Studies 914, p.920-921.</w:t>
      </w:r>
    </w:p>
  </w:footnote>
  <w:footnote w:id="4">
    <w:p w14:paraId="2E7FEED5" w14:textId="32DFC654" w:rsidR="00B152C2" w:rsidRPr="00266E6B" w:rsidRDefault="00B152C2">
      <w:pPr>
        <w:pStyle w:val="FootnoteText"/>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I Cairns and I Callander, </w:t>
      </w:r>
      <w:r w:rsidR="00490981" w:rsidRPr="00266E6B">
        <w:rPr>
          <w:rFonts w:ascii="Calibri" w:hAnsi="Calibri" w:cs="Calibri"/>
        </w:rPr>
        <w:t>‘‘Gold Standard’ Legislation for Adults Only: Reconceptualising Children as ‘Adjoined Victims' Under the Domestic Abuse (Scotland) Act 2018.’ </w:t>
      </w:r>
      <w:r w:rsidRPr="00266E6B">
        <w:rPr>
          <w:rFonts w:ascii="Calibri" w:hAnsi="Calibri" w:cs="Calibri"/>
        </w:rPr>
        <w:t>(2022) 31(6)</w:t>
      </w:r>
      <w:r w:rsidR="00642EC9" w:rsidRPr="00266E6B">
        <w:rPr>
          <w:rFonts w:ascii="Calibri" w:hAnsi="Calibri" w:cs="Calibri"/>
        </w:rPr>
        <w:t xml:space="preserve"> </w:t>
      </w:r>
      <w:r w:rsidRPr="00266E6B">
        <w:rPr>
          <w:rFonts w:ascii="Calibri" w:hAnsi="Calibri" w:cs="Calibri"/>
        </w:rPr>
        <w:t>Social &amp; Legal Studies 914, p.920-921.</w:t>
      </w:r>
    </w:p>
  </w:footnote>
  <w:footnote w:id="5">
    <w:p w14:paraId="2205F925" w14:textId="26801071" w:rsidR="006D2713" w:rsidRPr="00266E6B" w:rsidRDefault="006D2713" w:rsidP="00686DF8">
      <w:pPr>
        <w:pStyle w:val="FootnoteText"/>
        <w:jc w:val="both"/>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w:t>
      </w:r>
      <w:r w:rsidR="00094F48" w:rsidRPr="00266E6B">
        <w:rPr>
          <w:rFonts w:ascii="Calibri" w:hAnsi="Calibri" w:cs="Calibri"/>
        </w:rPr>
        <w:t xml:space="preserve">A </w:t>
      </w:r>
      <w:r w:rsidR="00B102DA" w:rsidRPr="00266E6B">
        <w:rPr>
          <w:rFonts w:ascii="Calibri" w:hAnsi="Calibri" w:cs="Calibri"/>
        </w:rPr>
        <w:t>McKinley</w:t>
      </w:r>
      <w:r w:rsidR="00094F48" w:rsidRPr="00266E6B">
        <w:rPr>
          <w:rFonts w:ascii="Calibri" w:hAnsi="Calibri" w:cs="Calibri"/>
        </w:rPr>
        <w:t xml:space="preserve"> and C </w:t>
      </w:r>
      <w:r w:rsidR="00B102DA" w:rsidRPr="00266E6B">
        <w:rPr>
          <w:rFonts w:ascii="Calibri" w:hAnsi="Calibri" w:cs="Calibri"/>
        </w:rPr>
        <w:t xml:space="preserve">Rogers, </w:t>
      </w:r>
      <w:r w:rsidR="00094F48" w:rsidRPr="00266E6B">
        <w:rPr>
          <w:rFonts w:ascii="Calibri" w:hAnsi="Calibri" w:cs="Calibri"/>
        </w:rPr>
        <w:t>‘</w:t>
      </w:r>
      <w:r w:rsidR="00B102DA" w:rsidRPr="00266E6B">
        <w:rPr>
          <w:rFonts w:ascii="Calibri" w:hAnsi="Calibri" w:cs="Calibri"/>
        </w:rPr>
        <w:t>Police, Victim and Co-victim Interaction: Insights from Australia</w:t>
      </w:r>
      <w:r w:rsidR="00094F48" w:rsidRPr="00266E6B">
        <w:rPr>
          <w:rFonts w:ascii="Calibri" w:hAnsi="Calibri" w:cs="Calibri"/>
        </w:rPr>
        <w:t>’ (2024) 7(1)</w:t>
      </w:r>
      <w:r w:rsidR="00B102DA" w:rsidRPr="00266E6B">
        <w:rPr>
          <w:rFonts w:ascii="Calibri" w:hAnsi="Calibri" w:cs="Calibri"/>
        </w:rPr>
        <w:t> Journal of Victimology and Victim Justice</w:t>
      </w:r>
      <w:r w:rsidR="00094F48" w:rsidRPr="00266E6B">
        <w:rPr>
          <w:rFonts w:ascii="Calibri" w:hAnsi="Calibri" w:cs="Calibri"/>
        </w:rPr>
        <w:t xml:space="preserve"> </w:t>
      </w:r>
      <w:r w:rsidR="00B102DA" w:rsidRPr="00266E6B">
        <w:rPr>
          <w:rFonts w:ascii="Calibri" w:hAnsi="Calibri" w:cs="Calibri"/>
        </w:rPr>
        <w:t>94</w:t>
      </w:r>
      <w:r w:rsidR="00F77033" w:rsidRPr="00266E6B">
        <w:rPr>
          <w:rFonts w:ascii="Calibri" w:hAnsi="Calibri" w:cs="Calibri"/>
        </w:rPr>
        <w:t>, p.</w:t>
      </w:r>
      <w:r w:rsidR="0084701C">
        <w:rPr>
          <w:rFonts w:ascii="Calibri" w:hAnsi="Calibri" w:cs="Calibri"/>
        </w:rPr>
        <w:t xml:space="preserve"> </w:t>
      </w:r>
      <w:r w:rsidR="00F77033" w:rsidRPr="00266E6B">
        <w:rPr>
          <w:rFonts w:ascii="Calibri" w:hAnsi="Calibri" w:cs="Calibri"/>
        </w:rPr>
        <w:t>98.</w:t>
      </w:r>
    </w:p>
  </w:footnote>
  <w:footnote w:id="6">
    <w:p w14:paraId="6EDCC4AE" w14:textId="28D5C2C1" w:rsidR="00B102DA" w:rsidRPr="00266E6B" w:rsidRDefault="00B102DA" w:rsidP="00686DF8">
      <w:pPr>
        <w:pStyle w:val="FootnoteText"/>
        <w:jc w:val="both"/>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w:t>
      </w:r>
      <w:r w:rsidR="009B104D" w:rsidRPr="00266E6B">
        <w:rPr>
          <w:rFonts w:ascii="Calibri" w:hAnsi="Calibri" w:cs="Calibri"/>
        </w:rPr>
        <w:t>A McKinley and C Rogers, ‘Police, Victim and Co-victim Interaction: Insights from Australia’ (2024) 7(1) Journal of Victimology and Victim Justice 94</w:t>
      </w:r>
      <w:r w:rsidR="0084701C">
        <w:rPr>
          <w:rFonts w:ascii="Calibri" w:hAnsi="Calibri" w:cs="Calibri"/>
        </w:rPr>
        <w:t xml:space="preserve">, </w:t>
      </w:r>
      <w:r w:rsidR="0084701C" w:rsidRPr="00266E6B">
        <w:rPr>
          <w:rFonts w:ascii="Calibri" w:hAnsi="Calibri" w:cs="Calibri"/>
        </w:rPr>
        <w:t>p.</w:t>
      </w:r>
      <w:r w:rsidR="0084701C">
        <w:rPr>
          <w:rFonts w:ascii="Calibri" w:hAnsi="Calibri" w:cs="Calibri"/>
        </w:rPr>
        <w:t xml:space="preserve"> </w:t>
      </w:r>
      <w:r w:rsidR="0084701C" w:rsidRPr="00266E6B">
        <w:rPr>
          <w:rFonts w:ascii="Calibri" w:hAnsi="Calibri" w:cs="Calibri"/>
        </w:rPr>
        <w:t>98</w:t>
      </w:r>
      <w:r w:rsidR="0084701C">
        <w:rPr>
          <w:rFonts w:ascii="Calibri" w:hAnsi="Calibri" w:cs="Calibri"/>
        </w:rPr>
        <w:t>.</w:t>
      </w:r>
    </w:p>
  </w:footnote>
  <w:footnote w:id="7">
    <w:p w14:paraId="6A673913" w14:textId="43DDFCEA" w:rsidR="00804536" w:rsidRPr="00266E6B" w:rsidRDefault="00804536" w:rsidP="00431D77">
      <w:pPr>
        <w:pStyle w:val="FootnoteText"/>
        <w:jc w:val="both"/>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See </w:t>
      </w:r>
      <w:r w:rsidR="00490981" w:rsidRPr="00266E6B">
        <w:rPr>
          <w:rFonts w:ascii="Calibri" w:hAnsi="Calibri" w:cs="Calibri"/>
        </w:rPr>
        <w:t>e.g.</w:t>
      </w:r>
      <w:r w:rsidRPr="00266E6B">
        <w:rPr>
          <w:rFonts w:ascii="Calibri" w:hAnsi="Calibri" w:cs="Calibri"/>
        </w:rPr>
        <w:t xml:space="preserve"> </w:t>
      </w:r>
      <w:r w:rsidR="00431D77" w:rsidRPr="00266E6B">
        <w:rPr>
          <w:rFonts w:ascii="Calibri" w:hAnsi="Calibri" w:cs="Calibri"/>
        </w:rPr>
        <w:t>by the Office for Victims of Crime (part of the U.S. Department of Justice)</w:t>
      </w:r>
      <w:r w:rsidR="00695CC2" w:rsidRPr="00266E6B">
        <w:rPr>
          <w:rFonts w:ascii="Calibri" w:hAnsi="Calibri" w:cs="Calibri"/>
        </w:rPr>
        <w:t xml:space="preserve"> - see</w:t>
      </w:r>
      <w:r w:rsidR="00431D77" w:rsidRPr="00266E6B">
        <w:rPr>
          <w:rFonts w:ascii="Calibri" w:hAnsi="Calibri" w:cs="Calibri"/>
        </w:rPr>
        <w:t xml:space="preserve"> </w:t>
      </w:r>
      <w:r w:rsidRPr="00266E6B">
        <w:rPr>
          <w:rFonts w:ascii="Calibri" w:hAnsi="Calibri" w:cs="Calibri"/>
        </w:rPr>
        <w:t xml:space="preserve">Centre for Victim Research, </w:t>
      </w:r>
      <w:proofErr w:type="gramStart"/>
      <w:r w:rsidR="00431D77" w:rsidRPr="00266E6B">
        <w:rPr>
          <w:rFonts w:ascii="Calibri" w:hAnsi="Calibri" w:cs="Calibri"/>
          <w:i/>
          <w:iCs/>
        </w:rPr>
        <w:t>Losing</w:t>
      </w:r>
      <w:proofErr w:type="gramEnd"/>
      <w:r w:rsidR="00431D77" w:rsidRPr="00266E6B">
        <w:rPr>
          <w:rFonts w:ascii="Calibri" w:hAnsi="Calibri" w:cs="Calibri"/>
          <w:i/>
          <w:iCs/>
        </w:rPr>
        <w:t xml:space="preserve"> a Loved One to Homicide</w:t>
      </w:r>
      <w:r w:rsidRPr="00266E6B">
        <w:rPr>
          <w:rFonts w:ascii="Calibri" w:hAnsi="Calibri" w:cs="Calibri"/>
          <w:i/>
          <w:iCs/>
        </w:rPr>
        <w:t>: What We Know About Homicide Co-Victims From Research And Practice Evidence</w:t>
      </w:r>
      <w:r w:rsidRPr="00266E6B">
        <w:rPr>
          <w:rFonts w:ascii="Calibri" w:hAnsi="Calibri" w:cs="Calibri"/>
        </w:rPr>
        <w:t xml:space="preserve"> (Centre for Victim Research, 2019), p.</w:t>
      </w:r>
      <w:r w:rsidR="0084701C">
        <w:rPr>
          <w:rFonts w:ascii="Calibri" w:hAnsi="Calibri" w:cs="Calibri"/>
        </w:rPr>
        <w:t xml:space="preserve"> </w:t>
      </w:r>
      <w:r w:rsidRPr="00266E6B">
        <w:rPr>
          <w:rFonts w:ascii="Calibri" w:hAnsi="Calibri" w:cs="Calibri"/>
        </w:rPr>
        <w:t xml:space="preserve">3. </w:t>
      </w:r>
    </w:p>
  </w:footnote>
  <w:footnote w:id="8">
    <w:p w14:paraId="4C1D6A69" w14:textId="06D7D863" w:rsidR="006D2713" w:rsidRPr="00266E6B" w:rsidRDefault="006D2713" w:rsidP="00431D77">
      <w:pPr>
        <w:pStyle w:val="FootnoteText"/>
        <w:jc w:val="both"/>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w:t>
      </w:r>
      <w:r w:rsidR="009B104D" w:rsidRPr="00266E6B">
        <w:rPr>
          <w:rFonts w:ascii="Calibri" w:hAnsi="Calibri" w:cs="Calibri"/>
        </w:rPr>
        <w:t xml:space="preserve">See </w:t>
      </w:r>
      <w:r w:rsidR="00490981" w:rsidRPr="00266E6B">
        <w:rPr>
          <w:rFonts w:ascii="Calibri" w:hAnsi="Calibri" w:cs="Calibri"/>
        </w:rPr>
        <w:t>e.g.</w:t>
      </w:r>
      <w:r w:rsidR="009B104D" w:rsidRPr="00266E6B">
        <w:rPr>
          <w:rFonts w:ascii="Calibri" w:hAnsi="Calibri" w:cs="Calibri"/>
        </w:rPr>
        <w:t xml:space="preserve"> E </w:t>
      </w:r>
      <w:r w:rsidRPr="00266E6B">
        <w:rPr>
          <w:rFonts w:ascii="Calibri" w:hAnsi="Calibri" w:cs="Calibri"/>
        </w:rPr>
        <w:t>Brown</w:t>
      </w:r>
      <w:r w:rsidR="009B104D" w:rsidRPr="00266E6B">
        <w:rPr>
          <w:rFonts w:ascii="Calibri" w:hAnsi="Calibri" w:cs="Calibri"/>
        </w:rPr>
        <w:t xml:space="preserve"> and J </w:t>
      </w:r>
      <w:r w:rsidRPr="00266E6B">
        <w:rPr>
          <w:rFonts w:ascii="Calibri" w:hAnsi="Calibri" w:cs="Calibri"/>
        </w:rPr>
        <w:t>Creg</w:t>
      </w:r>
      <w:r w:rsidR="009B104D" w:rsidRPr="00266E6B">
        <w:rPr>
          <w:rFonts w:ascii="Calibri" w:hAnsi="Calibri" w:cs="Calibri"/>
        </w:rPr>
        <w:t>o, ‘</w:t>
      </w:r>
      <w:r w:rsidR="00917ECB" w:rsidRPr="00266E6B">
        <w:rPr>
          <w:rFonts w:ascii="Calibri" w:hAnsi="Calibri" w:cs="Calibri"/>
        </w:rPr>
        <w:t>Homicide</w:t>
      </w:r>
      <w:r w:rsidRPr="00266E6B">
        <w:rPr>
          <w:rFonts w:ascii="Calibri" w:hAnsi="Calibri" w:cs="Calibri"/>
        </w:rPr>
        <w:t xml:space="preserve"> co-victims: confidence in the criminal justice system</w:t>
      </w:r>
      <w:r w:rsidR="009B104D" w:rsidRPr="00266E6B">
        <w:rPr>
          <w:rFonts w:ascii="Calibri" w:hAnsi="Calibri" w:cs="Calibri"/>
        </w:rPr>
        <w:t>’ (2019) 5(3)</w:t>
      </w:r>
      <w:r w:rsidRPr="00266E6B">
        <w:rPr>
          <w:rFonts w:ascii="Calibri" w:hAnsi="Calibri" w:cs="Calibri"/>
        </w:rPr>
        <w:t> Journal of Criminological Research, Policy and Practice</w:t>
      </w:r>
      <w:r w:rsidR="009B104D" w:rsidRPr="00266E6B">
        <w:rPr>
          <w:rFonts w:ascii="Calibri" w:hAnsi="Calibri" w:cs="Calibri"/>
        </w:rPr>
        <w:t xml:space="preserve"> 240; J Connolly and G Ronit, ‘Co-victims of homicide: A systematic review of the literature</w:t>
      </w:r>
      <w:r w:rsidR="004F492F" w:rsidRPr="00266E6B">
        <w:rPr>
          <w:rFonts w:ascii="Calibri" w:hAnsi="Calibri" w:cs="Calibri"/>
        </w:rPr>
        <w:t>’ (2015) 16(4)</w:t>
      </w:r>
      <w:r w:rsidR="009B104D" w:rsidRPr="00266E6B">
        <w:rPr>
          <w:rFonts w:ascii="Calibri" w:hAnsi="Calibri" w:cs="Calibri"/>
        </w:rPr>
        <w:t> Trauma, Violence, &amp; Abuse</w:t>
      </w:r>
      <w:r w:rsidR="004F492F" w:rsidRPr="00266E6B">
        <w:rPr>
          <w:rFonts w:ascii="Calibri" w:hAnsi="Calibri" w:cs="Calibri"/>
        </w:rPr>
        <w:t xml:space="preserve"> </w:t>
      </w:r>
      <w:r w:rsidR="009B104D" w:rsidRPr="00266E6B">
        <w:rPr>
          <w:rFonts w:ascii="Calibri" w:hAnsi="Calibri" w:cs="Calibri"/>
        </w:rPr>
        <w:t>494.</w:t>
      </w:r>
    </w:p>
  </w:footnote>
  <w:footnote w:id="9">
    <w:p w14:paraId="1518B17D" w14:textId="5624264B" w:rsidR="002B1799" w:rsidRPr="00266E6B" w:rsidRDefault="002B1799" w:rsidP="00686DF8">
      <w:pPr>
        <w:pStyle w:val="FootnoteText"/>
        <w:jc w:val="both"/>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See </w:t>
      </w:r>
      <w:r w:rsidR="00D81FBC" w:rsidRPr="00266E6B">
        <w:rPr>
          <w:rFonts w:ascii="Calibri" w:hAnsi="Calibri" w:cs="Calibri"/>
        </w:rPr>
        <w:t>e.g.</w:t>
      </w:r>
      <w:r w:rsidRPr="00266E6B">
        <w:rPr>
          <w:rFonts w:ascii="Calibri" w:hAnsi="Calibri" w:cs="Calibri"/>
        </w:rPr>
        <w:t xml:space="preserve"> </w:t>
      </w:r>
      <w:r w:rsidR="002D60B6" w:rsidRPr="00266E6B">
        <w:rPr>
          <w:rFonts w:ascii="Calibri" w:hAnsi="Calibri" w:cs="Calibri"/>
        </w:rPr>
        <w:t xml:space="preserve">E Stark and A Gruev-Vintila ‘Domestic violence: criminalising coercive control in France could bring more justice to victims’, </w:t>
      </w:r>
      <w:r w:rsidR="002D60B6" w:rsidRPr="00266E6B">
        <w:rPr>
          <w:rFonts w:ascii="Calibri" w:hAnsi="Calibri" w:cs="Calibri"/>
          <w:i/>
          <w:iCs/>
        </w:rPr>
        <w:t>The Conversation</w:t>
      </w:r>
      <w:r w:rsidR="002D60B6" w:rsidRPr="00266E6B">
        <w:rPr>
          <w:rFonts w:ascii="Calibri" w:hAnsi="Calibri" w:cs="Calibri"/>
        </w:rPr>
        <w:t>, 16 January 2024</w:t>
      </w:r>
      <w:r w:rsidR="0084701C">
        <w:rPr>
          <w:rFonts w:ascii="Calibri" w:hAnsi="Calibri" w:cs="Calibri"/>
        </w:rPr>
        <w:t>.</w:t>
      </w:r>
    </w:p>
  </w:footnote>
  <w:footnote w:id="10">
    <w:p w14:paraId="50234BD2" w14:textId="1F352DA0" w:rsidR="00071F33" w:rsidRPr="00266E6B" w:rsidRDefault="00071F33" w:rsidP="00071F33">
      <w:pPr>
        <w:pStyle w:val="FootnoteText"/>
        <w:jc w:val="both"/>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w:t>
      </w:r>
      <w:r w:rsidRPr="00266E6B">
        <w:rPr>
          <w:rFonts w:ascii="Calibri" w:hAnsi="Calibri" w:cs="Calibri"/>
          <w:kern w:val="0"/>
        </w:rPr>
        <w:t xml:space="preserve">M Burman and others, </w:t>
      </w:r>
      <w:r w:rsidRPr="00266E6B">
        <w:rPr>
          <w:rFonts w:ascii="Calibri" w:hAnsi="Calibri" w:cs="Calibri"/>
          <w:i/>
          <w:iCs/>
          <w:kern w:val="0"/>
        </w:rPr>
        <w:t xml:space="preserve">Domestic Abuse and Child Contact: The Interface Between Criminal and Civil Proceedings </w:t>
      </w:r>
      <w:r w:rsidRPr="00266E6B">
        <w:rPr>
          <w:rFonts w:ascii="Calibri" w:hAnsi="Calibri" w:cs="Calibri"/>
          <w:kern w:val="0"/>
        </w:rPr>
        <w:t>(SCCJR, 2023)</w:t>
      </w:r>
      <w:r w:rsidR="0084701C">
        <w:rPr>
          <w:rFonts w:ascii="Calibri" w:hAnsi="Calibri" w:cs="Calibri"/>
          <w:kern w:val="0"/>
        </w:rPr>
        <w:t>.</w:t>
      </w:r>
    </w:p>
  </w:footnote>
  <w:footnote w:id="11">
    <w:p w14:paraId="7520A79B" w14:textId="58DC8708" w:rsidR="00071F33" w:rsidRPr="00266E6B" w:rsidRDefault="00071F33" w:rsidP="00071F33">
      <w:pPr>
        <w:autoSpaceDE w:val="0"/>
        <w:autoSpaceDN w:val="0"/>
        <w:adjustRightInd w:val="0"/>
        <w:jc w:val="both"/>
        <w:rPr>
          <w:rFonts w:ascii="Calibri" w:hAnsi="Calibri" w:cs="Calibri"/>
          <w:kern w:val="0"/>
          <w:sz w:val="20"/>
          <w:szCs w:val="20"/>
        </w:rPr>
      </w:pPr>
      <w:r w:rsidRPr="00266E6B">
        <w:rPr>
          <w:rStyle w:val="FootnoteReference"/>
          <w:rFonts w:ascii="Calibri" w:hAnsi="Calibri" w:cs="Calibri"/>
          <w:sz w:val="20"/>
          <w:szCs w:val="20"/>
        </w:rPr>
        <w:footnoteRef/>
      </w:r>
      <w:r w:rsidRPr="00266E6B">
        <w:rPr>
          <w:rFonts w:ascii="Calibri" w:hAnsi="Calibri" w:cs="Calibri"/>
          <w:sz w:val="20"/>
          <w:szCs w:val="20"/>
        </w:rPr>
        <w:t xml:space="preserve"> </w:t>
      </w:r>
      <w:r w:rsidRPr="00266E6B">
        <w:rPr>
          <w:rFonts w:ascii="Calibri" w:hAnsi="Calibri" w:cs="Calibri"/>
          <w:kern w:val="0"/>
          <w:sz w:val="20"/>
          <w:szCs w:val="20"/>
        </w:rPr>
        <w:t xml:space="preserve">M Burman and others, </w:t>
      </w:r>
      <w:r w:rsidRPr="00266E6B">
        <w:rPr>
          <w:rFonts w:ascii="Calibri" w:hAnsi="Calibri" w:cs="Calibri"/>
          <w:i/>
          <w:iCs/>
          <w:kern w:val="0"/>
          <w:sz w:val="20"/>
          <w:szCs w:val="20"/>
        </w:rPr>
        <w:t xml:space="preserve">Domestic Abuse and Child Contact: The Interface Between Criminal and Civil Proceedings </w:t>
      </w:r>
      <w:r w:rsidRPr="00266E6B">
        <w:rPr>
          <w:rFonts w:ascii="Calibri" w:hAnsi="Calibri" w:cs="Calibri"/>
          <w:kern w:val="0"/>
          <w:sz w:val="20"/>
          <w:szCs w:val="20"/>
        </w:rPr>
        <w:t>(SCCJR, 2023), p</w:t>
      </w:r>
      <w:r w:rsidR="0084701C">
        <w:rPr>
          <w:rFonts w:ascii="Calibri" w:hAnsi="Calibri" w:cs="Calibri"/>
          <w:kern w:val="0"/>
          <w:sz w:val="20"/>
          <w:szCs w:val="20"/>
        </w:rPr>
        <w:t>.</w:t>
      </w:r>
      <w:r w:rsidRPr="00266E6B">
        <w:rPr>
          <w:rFonts w:ascii="Calibri" w:hAnsi="Calibri" w:cs="Calibri"/>
          <w:kern w:val="0"/>
          <w:sz w:val="20"/>
          <w:szCs w:val="20"/>
        </w:rPr>
        <w:t xml:space="preserve"> 51</w:t>
      </w:r>
      <w:r w:rsidR="0084701C">
        <w:rPr>
          <w:rFonts w:ascii="Calibri" w:hAnsi="Calibri" w:cs="Calibri"/>
          <w:kern w:val="0"/>
          <w:sz w:val="20"/>
          <w:szCs w:val="20"/>
        </w:rPr>
        <w:t>.</w:t>
      </w:r>
    </w:p>
  </w:footnote>
  <w:footnote w:id="12">
    <w:p w14:paraId="00CAC9DE" w14:textId="46E290E5" w:rsidR="00071F33" w:rsidRPr="00266E6B" w:rsidRDefault="00071F33" w:rsidP="00071F33">
      <w:pPr>
        <w:pStyle w:val="FootnoteText"/>
        <w:jc w:val="both"/>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w:t>
      </w:r>
      <w:r w:rsidRPr="00266E6B">
        <w:rPr>
          <w:rFonts w:ascii="Calibri" w:hAnsi="Calibri" w:cs="Calibri"/>
          <w:kern w:val="0"/>
        </w:rPr>
        <w:t xml:space="preserve">M Burman and others, </w:t>
      </w:r>
      <w:r w:rsidRPr="00266E6B">
        <w:rPr>
          <w:rFonts w:ascii="Calibri" w:hAnsi="Calibri" w:cs="Calibri"/>
          <w:i/>
          <w:iCs/>
          <w:kern w:val="0"/>
        </w:rPr>
        <w:t xml:space="preserve">Domestic Abuse and Child Contact: The Interface Between Criminal and Civil Proceedings </w:t>
      </w:r>
      <w:r w:rsidRPr="00266E6B">
        <w:rPr>
          <w:rFonts w:ascii="Calibri" w:hAnsi="Calibri" w:cs="Calibri"/>
          <w:kern w:val="0"/>
        </w:rPr>
        <w:t>(SCCJR, 2023), p</w:t>
      </w:r>
      <w:r w:rsidR="0084701C">
        <w:rPr>
          <w:rFonts w:ascii="Calibri" w:hAnsi="Calibri" w:cs="Calibri"/>
          <w:kern w:val="0"/>
        </w:rPr>
        <w:t>.</w:t>
      </w:r>
      <w:r w:rsidRPr="00266E6B">
        <w:rPr>
          <w:rFonts w:ascii="Calibri" w:hAnsi="Calibri" w:cs="Calibri"/>
          <w:kern w:val="0"/>
        </w:rPr>
        <w:t xml:space="preserve"> 52</w:t>
      </w:r>
      <w:r w:rsidR="0084701C">
        <w:rPr>
          <w:rFonts w:ascii="Calibri" w:hAnsi="Calibri" w:cs="Calibri"/>
          <w:kern w:val="0"/>
        </w:rPr>
        <w:t>.</w:t>
      </w:r>
    </w:p>
  </w:footnote>
  <w:footnote w:id="13">
    <w:p w14:paraId="7EAEF3FB" w14:textId="76698582" w:rsidR="00071F33" w:rsidRPr="00266E6B" w:rsidRDefault="00071F33" w:rsidP="00071F33">
      <w:pPr>
        <w:pStyle w:val="FootnoteText"/>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I Cairns and I Callander, "‘Gold Standard' Legislation for Adults Only: Reconceptualising Children as ‘Adjoined Victims' Under the Domestic Abuse (Scotland) Act 2018."  (2022) 31(6) Social &amp; Legal Studies 914</w:t>
      </w:r>
      <w:r w:rsidR="0084701C">
        <w:rPr>
          <w:rFonts w:ascii="Calibri" w:hAnsi="Calibri" w:cs="Calibri"/>
        </w:rPr>
        <w:t>.</w:t>
      </w:r>
    </w:p>
  </w:footnote>
  <w:footnote w:id="14">
    <w:p w14:paraId="4D28E407" w14:textId="46103261" w:rsidR="000E5DEC" w:rsidRPr="00266E6B" w:rsidRDefault="000E5DEC" w:rsidP="000E5DEC">
      <w:pPr>
        <w:pStyle w:val="FootnoteText"/>
        <w:jc w:val="both"/>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See discussion in I Cairns and I Callander, </w:t>
      </w:r>
      <w:r w:rsidR="00490981" w:rsidRPr="00266E6B">
        <w:rPr>
          <w:rFonts w:ascii="Calibri" w:hAnsi="Calibri" w:cs="Calibri"/>
        </w:rPr>
        <w:t xml:space="preserve">‘‘Gold Standard’ Legislation for Adults Only: Reconceptualising Children as ‘Adjoined Victims' Under the Domestic Abuse (Scotland) Act 2018.’ (2022 </w:t>
      </w:r>
      <w:r w:rsidRPr="00266E6B">
        <w:rPr>
          <w:rFonts w:ascii="Calibri" w:hAnsi="Calibri" w:cs="Calibri"/>
        </w:rPr>
        <w:t>(2022) 31(6) Social &amp; Legal Studies 914, p</w:t>
      </w:r>
      <w:r w:rsidR="0084701C">
        <w:rPr>
          <w:rFonts w:ascii="Calibri" w:hAnsi="Calibri" w:cs="Calibri"/>
        </w:rPr>
        <w:t xml:space="preserve">. </w:t>
      </w:r>
      <w:r w:rsidRPr="00266E6B">
        <w:rPr>
          <w:rFonts w:ascii="Calibri" w:hAnsi="Calibri" w:cs="Calibri"/>
        </w:rPr>
        <w:t>922-924.</w:t>
      </w:r>
    </w:p>
  </w:footnote>
  <w:footnote w:id="15">
    <w:p w14:paraId="27E41BC1" w14:textId="0C58F5CC" w:rsidR="00733125" w:rsidRPr="00266E6B" w:rsidRDefault="00733125" w:rsidP="00686DF8">
      <w:pPr>
        <w:autoSpaceDE w:val="0"/>
        <w:autoSpaceDN w:val="0"/>
        <w:adjustRightInd w:val="0"/>
        <w:jc w:val="both"/>
        <w:rPr>
          <w:rFonts w:ascii="Calibri" w:hAnsi="Calibri" w:cs="Calibri"/>
          <w:kern w:val="0"/>
          <w:sz w:val="20"/>
          <w:szCs w:val="20"/>
        </w:rPr>
      </w:pPr>
      <w:r w:rsidRPr="00266E6B">
        <w:rPr>
          <w:rStyle w:val="FootnoteReference"/>
          <w:rFonts w:ascii="Calibri" w:hAnsi="Calibri" w:cs="Calibri"/>
          <w:sz w:val="20"/>
          <w:szCs w:val="20"/>
        </w:rPr>
        <w:footnoteRef/>
      </w:r>
      <w:r w:rsidRPr="00266E6B">
        <w:rPr>
          <w:rFonts w:ascii="Calibri" w:hAnsi="Calibri" w:cs="Calibri"/>
          <w:sz w:val="20"/>
          <w:szCs w:val="20"/>
        </w:rPr>
        <w:t xml:space="preserve"> </w:t>
      </w:r>
      <w:r w:rsidRPr="00266E6B">
        <w:rPr>
          <w:rFonts w:ascii="Calibri" w:hAnsi="Calibri" w:cs="Calibri"/>
          <w:kern w:val="0"/>
          <w:sz w:val="20"/>
          <w:szCs w:val="20"/>
        </w:rPr>
        <w:t xml:space="preserve">C Houghton and others, </w:t>
      </w:r>
      <w:r w:rsidRPr="0084701C">
        <w:rPr>
          <w:rFonts w:ascii="Calibri" w:hAnsi="Calibri" w:cs="Calibri"/>
          <w:i/>
          <w:iCs/>
          <w:kern w:val="0"/>
          <w:sz w:val="20"/>
          <w:szCs w:val="20"/>
        </w:rPr>
        <w:t>Domestic Abuse Court Experiences Research: the perspectives of victims and witnesses in Scotland</w:t>
      </w:r>
      <w:r w:rsidRPr="00266E6B">
        <w:rPr>
          <w:rFonts w:ascii="Calibri" w:hAnsi="Calibri" w:cs="Calibri"/>
          <w:kern w:val="0"/>
          <w:sz w:val="20"/>
          <w:szCs w:val="20"/>
        </w:rPr>
        <w:t xml:space="preserve"> (Scottish Government, 2022), p</w:t>
      </w:r>
      <w:r w:rsidR="0084701C">
        <w:rPr>
          <w:rFonts w:ascii="Calibri" w:hAnsi="Calibri" w:cs="Calibri"/>
          <w:kern w:val="0"/>
          <w:sz w:val="20"/>
          <w:szCs w:val="20"/>
        </w:rPr>
        <w:t>.</w:t>
      </w:r>
      <w:r w:rsidRPr="00266E6B">
        <w:rPr>
          <w:rFonts w:ascii="Calibri" w:hAnsi="Calibri" w:cs="Calibri"/>
          <w:kern w:val="0"/>
          <w:sz w:val="20"/>
          <w:szCs w:val="20"/>
        </w:rPr>
        <w:t xml:space="preserve"> </w:t>
      </w:r>
      <w:r w:rsidR="00F77033" w:rsidRPr="00266E6B">
        <w:rPr>
          <w:rFonts w:ascii="Calibri" w:hAnsi="Calibri" w:cs="Calibri"/>
          <w:kern w:val="0"/>
          <w:sz w:val="20"/>
          <w:szCs w:val="20"/>
        </w:rPr>
        <w:t>34</w:t>
      </w:r>
      <w:r w:rsidRPr="00266E6B">
        <w:rPr>
          <w:rFonts w:ascii="Calibri" w:hAnsi="Calibri" w:cs="Calibri"/>
          <w:kern w:val="0"/>
          <w:sz w:val="20"/>
          <w:szCs w:val="20"/>
        </w:rPr>
        <w:t>.</w:t>
      </w:r>
    </w:p>
  </w:footnote>
  <w:footnote w:id="16">
    <w:p w14:paraId="31C18E25" w14:textId="4BDA5472" w:rsidR="00D01A3E" w:rsidRPr="0084701C" w:rsidRDefault="00D01A3E" w:rsidP="00D01A3E">
      <w:pPr>
        <w:pStyle w:val="FootnoteText"/>
        <w:rPr>
          <w:rFonts w:ascii="Calibri" w:hAnsi="Calibri" w:cs="Calibri"/>
        </w:rPr>
      </w:pPr>
      <w:r w:rsidRPr="0084701C">
        <w:rPr>
          <w:rStyle w:val="FootnoteReference"/>
          <w:rFonts w:ascii="Calibri" w:hAnsi="Calibri" w:cs="Calibri"/>
        </w:rPr>
        <w:footnoteRef/>
      </w:r>
      <w:r w:rsidRPr="0084701C">
        <w:rPr>
          <w:rFonts w:ascii="Calibri" w:hAnsi="Calibri" w:cs="Calibri"/>
        </w:rPr>
        <w:t xml:space="preserve"> I Cairns and I Callander, ‘‘Gold Standard' Legislation for Adults Only: Reconceptualising Children as ‘Adjoined Victims' Under the Domestic Abuse (Scotland) Act 2018.’ (2022 (2022) 31(6) Social &amp; Legal Studies 914, p</w:t>
      </w:r>
      <w:r w:rsidR="0084701C">
        <w:rPr>
          <w:rFonts w:ascii="Calibri" w:hAnsi="Calibri" w:cs="Calibri"/>
        </w:rPr>
        <w:t>.</w:t>
      </w:r>
      <w:r w:rsidRPr="0084701C">
        <w:rPr>
          <w:rFonts w:ascii="Calibri" w:hAnsi="Calibri" w:cs="Calibri"/>
        </w:rPr>
        <w:t xml:space="preserve"> 930-932.</w:t>
      </w:r>
    </w:p>
  </w:footnote>
  <w:footnote w:id="17">
    <w:p w14:paraId="2A55F866" w14:textId="11E6823E" w:rsidR="0019022D" w:rsidRPr="00266E6B" w:rsidRDefault="0019022D" w:rsidP="00686DF8">
      <w:pPr>
        <w:jc w:val="both"/>
        <w:rPr>
          <w:rFonts w:ascii="Calibri" w:hAnsi="Calibri" w:cs="Calibri"/>
          <w:sz w:val="20"/>
          <w:szCs w:val="20"/>
        </w:rPr>
      </w:pPr>
      <w:r w:rsidRPr="00266E6B">
        <w:rPr>
          <w:rStyle w:val="FootnoteReference"/>
          <w:rFonts w:ascii="Calibri" w:hAnsi="Calibri" w:cs="Calibri"/>
          <w:sz w:val="20"/>
          <w:szCs w:val="20"/>
        </w:rPr>
        <w:footnoteRef/>
      </w:r>
      <w:r w:rsidR="0084701C">
        <w:rPr>
          <w:rFonts w:ascii="Calibri" w:hAnsi="Calibri" w:cs="Calibri"/>
          <w:sz w:val="20"/>
          <w:szCs w:val="20"/>
        </w:rPr>
        <w:t>For discussion see</w:t>
      </w:r>
      <w:r w:rsidRPr="00266E6B">
        <w:rPr>
          <w:rFonts w:ascii="Calibri" w:hAnsi="Calibri" w:cs="Calibri"/>
          <w:sz w:val="20"/>
          <w:szCs w:val="20"/>
        </w:rPr>
        <w:t xml:space="preserve"> M Burman and O Brooks-Hay, ‘Aligning policy and law? The creation of a domestic abuse offence incorporating coercive control’ (2018) 18(1) Criminology and Criminal Justice 67</w:t>
      </w:r>
      <w:r w:rsidR="0084701C">
        <w:rPr>
          <w:rFonts w:ascii="Calibri" w:hAnsi="Calibri" w:cs="Calibri"/>
          <w:sz w:val="20"/>
          <w:szCs w:val="20"/>
        </w:rPr>
        <w:t>.</w:t>
      </w:r>
    </w:p>
  </w:footnote>
  <w:footnote w:id="18">
    <w:p w14:paraId="3F273786" w14:textId="319716F8" w:rsidR="0019022D" w:rsidRPr="00266E6B" w:rsidRDefault="0019022D" w:rsidP="00686DF8">
      <w:pPr>
        <w:pStyle w:val="FootnoteText"/>
        <w:jc w:val="both"/>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w:t>
      </w:r>
      <w:r w:rsidRPr="00266E6B">
        <w:rPr>
          <w:rFonts w:ascii="Calibri" w:hAnsi="Calibri" w:cs="Calibri"/>
          <w:kern w:val="0"/>
        </w:rPr>
        <w:t xml:space="preserve">M Burman and others, </w:t>
      </w:r>
      <w:r w:rsidRPr="00266E6B">
        <w:rPr>
          <w:rFonts w:ascii="Calibri" w:hAnsi="Calibri" w:cs="Calibri"/>
          <w:i/>
          <w:iCs/>
          <w:kern w:val="0"/>
        </w:rPr>
        <w:t xml:space="preserve">Domestic Abuse and Child Contact: The Interface Between Criminal and Civil Proceedings </w:t>
      </w:r>
      <w:r w:rsidRPr="00266E6B">
        <w:rPr>
          <w:rFonts w:ascii="Calibri" w:hAnsi="Calibri" w:cs="Calibri"/>
          <w:kern w:val="0"/>
        </w:rPr>
        <w:t>(SCCJR, 2023)</w:t>
      </w:r>
      <w:r w:rsidR="0084701C">
        <w:rPr>
          <w:rFonts w:ascii="Calibri" w:hAnsi="Calibri" w:cs="Calibri"/>
          <w:kern w:val="0"/>
        </w:rPr>
        <w:t>,</w:t>
      </w:r>
      <w:r w:rsidRPr="00266E6B">
        <w:rPr>
          <w:rFonts w:ascii="Calibri" w:hAnsi="Calibri" w:cs="Calibri"/>
          <w:kern w:val="0"/>
        </w:rPr>
        <w:t xml:space="preserve"> p</w:t>
      </w:r>
      <w:r w:rsidR="0084701C">
        <w:rPr>
          <w:rFonts w:ascii="Calibri" w:hAnsi="Calibri" w:cs="Calibri"/>
          <w:kern w:val="0"/>
        </w:rPr>
        <w:t>.</w:t>
      </w:r>
      <w:r w:rsidRPr="00266E6B">
        <w:rPr>
          <w:rFonts w:ascii="Calibri" w:hAnsi="Calibri" w:cs="Calibri"/>
          <w:kern w:val="0"/>
        </w:rPr>
        <w:t xml:space="preserve"> </w:t>
      </w:r>
      <w:r w:rsidR="009D012E" w:rsidRPr="00266E6B">
        <w:rPr>
          <w:rFonts w:ascii="Calibri" w:hAnsi="Calibri" w:cs="Calibri"/>
          <w:kern w:val="0"/>
        </w:rPr>
        <w:t>51</w:t>
      </w:r>
      <w:r w:rsidRPr="00266E6B">
        <w:rPr>
          <w:rFonts w:ascii="Calibri" w:hAnsi="Calibri" w:cs="Calibri"/>
          <w:kern w:val="0"/>
        </w:rPr>
        <w:t>.</w:t>
      </w:r>
    </w:p>
  </w:footnote>
  <w:footnote w:id="19">
    <w:p w14:paraId="0EB13CA7" w14:textId="20B448C4" w:rsidR="00DF2FC1" w:rsidRPr="00266E6B" w:rsidRDefault="00DF2FC1">
      <w:pPr>
        <w:pStyle w:val="FootnoteText"/>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I Cairns and I Callander, </w:t>
      </w:r>
      <w:r w:rsidR="00490981" w:rsidRPr="00266E6B">
        <w:rPr>
          <w:rFonts w:ascii="Calibri" w:hAnsi="Calibri" w:cs="Calibri"/>
        </w:rPr>
        <w:t xml:space="preserve">‘‘Gold Standard’ Legislation for Adults Only: Reconceptualising Children as ‘Adjoined Victims' Under the Domestic Abuse (Scotland) Act 2018.’ </w:t>
      </w:r>
      <w:r w:rsidRPr="00266E6B">
        <w:rPr>
          <w:rFonts w:ascii="Calibri" w:hAnsi="Calibri" w:cs="Calibri"/>
        </w:rPr>
        <w:t>(2022) 31(6) Social &amp; Legal Studies 914, p. 934.</w:t>
      </w:r>
    </w:p>
  </w:footnote>
  <w:footnote w:id="20">
    <w:p w14:paraId="72E66A70" w14:textId="2194F9A6" w:rsidR="007F4BD0" w:rsidRPr="00266E6B" w:rsidRDefault="007F4BD0" w:rsidP="00686DF8">
      <w:pPr>
        <w:pStyle w:val="FootnoteText"/>
        <w:jc w:val="both"/>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See discussion in </w:t>
      </w:r>
      <w:r w:rsidR="00DF2FC1" w:rsidRPr="00266E6B">
        <w:rPr>
          <w:rFonts w:ascii="Calibri" w:hAnsi="Calibri" w:cs="Calibri"/>
        </w:rPr>
        <w:t>F Morrison and C Houghton, ‘Children’s human rights in the contexts of domestic abuse and COVID-19.’ (2023) 27(9-10) The International Journal of Human Rights 1353, p</w:t>
      </w:r>
      <w:r w:rsidR="0084701C">
        <w:rPr>
          <w:rFonts w:ascii="Calibri" w:hAnsi="Calibri" w:cs="Calibri"/>
        </w:rPr>
        <w:t>.</w:t>
      </w:r>
      <w:r w:rsidR="00DF2FC1" w:rsidRPr="00266E6B">
        <w:rPr>
          <w:rFonts w:ascii="Calibri" w:hAnsi="Calibri" w:cs="Calibri"/>
        </w:rPr>
        <w:t xml:space="preserve"> 1355.</w:t>
      </w:r>
    </w:p>
  </w:footnote>
  <w:footnote w:id="21">
    <w:p w14:paraId="5E89DAAE" w14:textId="77777777" w:rsidR="0019022D" w:rsidRPr="0084701C" w:rsidRDefault="0019022D" w:rsidP="00686DF8">
      <w:pPr>
        <w:pStyle w:val="FootnoteText"/>
        <w:jc w:val="both"/>
        <w:rPr>
          <w:rFonts w:ascii="Calibri" w:hAnsi="Calibri" w:cs="Calibri"/>
        </w:rPr>
      </w:pPr>
      <w:r w:rsidRPr="0084701C">
        <w:rPr>
          <w:rStyle w:val="FootnoteReference"/>
          <w:rFonts w:ascii="Calibri" w:hAnsi="Calibri" w:cs="Calibri"/>
        </w:rPr>
        <w:footnoteRef/>
      </w:r>
      <w:r w:rsidRPr="0084701C">
        <w:rPr>
          <w:rFonts w:ascii="Calibri" w:hAnsi="Calibri" w:cs="Calibri"/>
        </w:rPr>
        <w:t xml:space="preserve"> L </w:t>
      </w:r>
      <w:r w:rsidRPr="0084701C">
        <w:rPr>
          <w:rFonts w:ascii="Calibri" w:hAnsi="Calibri" w:cs="Calibri"/>
          <w:kern w:val="0"/>
        </w:rPr>
        <w:t>Bates and M Hester, ‘No longer a civil matter? The design and use of protection orders for domestic violence in England and Wales (2020) 42(2) Journal of Social Welfare and Family Law 133.</w:t>
      </w:r>
    </w:p>
  </w:footnote>
  <w:footnote w:id="22">
    <w:p w14:paraId="31FAC10D" w14:textId="10103800" w:rsidR="00A43737" w:rsidRPr="0084701C" w:rsidRDefault="00A43737">
      <w:pPr>
        <w:pStyle w:val="FootnoteText"/>
        <w:rPr>
          <w:rFonts w:ascii="Calibri" w:hAnsi="Calibri" w:cs="Calibri"/>
        </w:rPr>
      </w:pPr>
      <w:r w:rsidRPr="0084701C">
        <w:rPr>
          <w:rStyle w:val="FootnoteReference"/>
          <w:rFonts w:ascii="Calibri" w:hAnsi="Calibri" w:cs="Calibri"/>
        </w:rPr>
        <w:footnoteRef/>
      </w:r>
      <w:r w:rsidRPr="0084701C">
        <w:rPr>
          <w:rFonts w:ascii="Calibri" w:hAnsi="Calibri" w:cs="Calibri"/>
        </w:rPr>
        <w:t xml:space="preserve"> See </w:t>
      </w:r>
      <w:r w:rsidR="00490981" w:rsidRPr="0084701C">
        <w:rPr>
          <w:rFonts w:ascii="Calibri" w:hAnsi="Calibri" w:cs="Calibri"/>
        </w:rPr>
        <w:t xml:space="preserve">‘‘Gold Standard' Legislation for Adults Only: Reconceptualising Children as ‘Adjoined Victims' Under the Domestic Abuse (Scotland) Act 2018.’  </w:t>
      </w:r>
      <w:r w:rsidRPr="0084701C">
        <w:rPr>
          <w:rFonts w:ascii="Calibri" w:hAnsi="Calibri" w:cs="Calibri"/>
        </w:rPr>
        <w:t>(2022) 31 (6) Social &amp; Legal Studies 914.</w:t>
      </w:r>
    </w:p>
  </w:footnote>
  <w:footnote w:id="23">
    <w:p w14:paraId="0B690354" w14:textId="530F0C20" w:rsidR="00DD50E0" w:rsidRPr="0084701C" w:rsidRDefault="00DD50E0" w:rsidP="00686DF8">
      <w:pPr>
        <w:pStyle w:val="FootnoteText"/>
        <w:jc w:val="both"/>
        <w:rPr>
          <w:rFonts w:ascii="Calibri" w:hAnsi="Calibri" w:cs="Calibri"/>
        </w:rPr>
      </w:pPr>
      <w:r w:rsidRPr="0084701C">
        <w:rPr>
          <w:rStyle w:val="FootnoteReference"/>
          <w:rFonts w:ascii="Calibri" w:hAnsi="Calibri" w:cs="Calibri"/>
        </w:rPr>
        <w:footnoteRef/>
      </w:r>
      <w:r w:rsidRPr="0084701C">
        <w:rPr>
          <w:rFonts w:ascii="Calibri" w:hAnsi="Calibri" w:cs="Calibri"/>
        </w:rPr>
        <w:t xml:space="preserve"> </w:t>
      </w:r>
      <w:r w:rsidR="00971046" w:rsidRPr="0084701C">
        <w:rPr>
          <w:rFonts w:ascii="Calibri" w:hAnsi="Calibri" w:cs="Calibri"/>
        </w:rPr>
        <w:t xml:space="preserve">I Cairns and I Callander, </w:t>
      </w:r>
      <w:r w:rsidR="00490981" w:rsidRPr="0084701C">
        <w:rPr>
          <w:rFonts w:ascii="Calibri" w:hAnsi="Calibri" w:cs="Calibri"/>
        </w:rPr>
        <w:t xml:space="preserve">‘‘Gold Standard’ Legislation for Adults Only: Reconceptualising Children as ‘Adjoined Victims' Under the Domestic Abuse (Scotland) Act 2018.’ </w:t>
      </w:r>
      <w:r w:rsidR="00971046" w:rsidRPr="0084701C">
        <w:rPr>
          <w:rFonts w:ascii="Calibri" w:hAnsi="Calibri" w:cs="Calibri"/>
        </w:rPr>
        <w:t>(2022) 31(6)</w:t>
      </w:r>
      <w:r w:rsidR="00DF2FC1" w:rsidRPr="0084701C">
        <w:rPr>
          <w:rFonts w:ascii="Calibri" w:hAnsi="Calibri" w:cs="Calibri"/>
        </w:rPr>
        <w:t xml:space="preserve"> </w:t>
      </w:r>
      <w:r w:rsidR="00971046" w:rsidRPr="0084701C">
        <w:rPr>
          <w:rFonts w:ascii="Calibri" w:hAnsi="Calibri" w:cs="Calibri"/>
        </w:rPr>
        <w:t>Social &amp; Legal Studies 914, p. 926.</w:t>
      </w:r>
    </w:p>
  </w:footnote>
  <w:footnote w:id="24">
    <w:p w14:paraId="0251D039" w14:textId="531F3C6B" w:rsidR="00C1316E" w:rsidRPr="00266E6B" w:rsidRDefault="00C1316E" w:rsidP="00686DF8">
      <w:pPr>
        <w:pStyle w:val="FootnoteText"/>
        <w:jc w:val="both"/>
        <w:rPr>
          <w:rFonts w:ascii="Calibri" w:hAnsi="Calibri" w:cs="Calibri"/>
        </w:rPr>
      </w:pPr>
      <w:r w:rsidRPr="0084701C">
        <w:rPr>
          <w:rStyle w:val="FootnoteReference"/>
          <w:rFonts w:ascii="Calibri" w:hAnsi="Calibri" w:cs="Calibri"/>
        </w:rPr>
        <w:footnoteRef/>
      </w:r>
      <w:r w:rsidRPr="0084701C">
        <w:rPr>
          <w:rFonts w:ascii="Calibri" w:hAnsi="Calibri" w:cs="Calibri"/>
        </w:rPr>
        <w:t xml:space="preserve"> F Morrison and C Houghton, ‘Children’s human rights in the contexts of domestic abuse and COVID-19.’ (2023) 27(9-10) The International Journal of Human Rights 1353</w:t>
      </w:r>
      <w:r w:rsidR="00715001" w:rsidRPr="0084701C">
        <w:rPr>
          <w:rFonts w:ascii="Calibri" w:hAnsi="Calibri" w:cs="Calibri"/>
        </w:rPr>
        <w:t>, p</w:t>
      </w:r>
      <w:r w:rsidR="0084701C">
        <w:rPr>
          <w:rFonts w:ascii="Calibri" w:hAnsi="Calibri" w:cs="Calibri"/>
        </w:rPr>
        <w:t>.</w:t>
      </w:r>
      <w:r w:rsidR="00715001" w:rsidRPr="0084701C">
        <w:rPr>
          <w:rFonts w:ascii="Calibri" w:hAnsi="Calibri" w:cs="Calibri"/>
        </w:rPr>
        <w:t xml:space="preserve"> 1356</w:t>
      </w:r>
      <w:r w:rsidRPr="00266E6B">
        <w:rPr>
          <w:rFonts w:ascii="Calibri" w:hAnsi="Calibri" w:cs="Calibri"/>
        </w:rPr>
        <w:t>.</w:t>
      </w:r>
    </w:p>
  </w:footnote>
  <w:footnote w:id="25">
    <w:p w14:paraId="1BA75E23" w14:textId="705DC20A" w:rsidR="008C4EA3" w:rsidRPr="00266E6B" w:rsidRDefault="008C4EA3" w:rsidP="008C4EA3">
      <w:pPr>
        <w:pStyle w:val="FootnoteText"/>
        <w:jc w:val="both"/>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G Macdonald, ‘Hearing children’s voices? Including children’s perspectives on their experiences of domestic violence in welfare reports prepared for the English courts in private family law proceedings’ (2017) 65 Child Abuse and Neglect 1</w:t>
      </w:r>
      <w:r w:rsidR="0084701C">
        <w:rPr>
          <w:rFonts w:ascii="Calibri" w:hAnsi="Calibri" w:cs="Calibri"/>
        </w:rPr>
        <w:t>.</w:t>
      </w:r>
    </w:p>
  </w:footnote>
  <w:footnote w:id="26">
    <w:p w14:paraId="060FC218" w14:textId="136AA979" w:rsidR="00A623FF" w:rsidRPr="00266E6B" w:rsidRDefault="00A623FF" w:rsidP="00686DF8">
      <w:pPr>
        <w:jc w:val="both"/>
        <w:rPr>
          <w:rFonts w:ascii="Calibri" w:hAnsi="Calibri" w:cs="Calibri"/>
          <w:sz w:val="20"/>
          <w:szCs w:val="20"/>
        </w:rPr>
      </w:pPr>
      <w:r w:rsidRPr="00266E6B">
        <w:rPr>
          <w:rStyle w:val="FootnoteReference"/>
          <w:rFonts w:ascii="Calibri" w:hAnsi="Calibri" w:cs="Calibri"/>
          <w:sz w:val="20"/>
          <w:szCs w:val="20"/>
        </w:rPr>
        <w:footnoteRef/>
      </w:r>
      <w:r w:rsidRPr="00266E6B">
        <w:rPr>
          <w:rFonts w:ascii="Calibri" w:hAnsi="Calibri" w:cs="Calibri"/>
          <w:sz w:val="20"/>
          <w:szCs w:val="20"/>
        </w:rPr>
        <w:t xml:space="preserve"> </w:t>
      </w:r>
      <w:r w:rsidR="00490981" w:rsidRPr="00266E6B">
        <w:rPr>
          <w:rFonts w:ascii="Calibri" w:hAnsi="Calibri" w:cs="Calibri"/>
          <w:sz w:val="20"/>
          <w:szCs w:val="20"/>
        </w:rPr>
        <w:t xml:space="preserve">Ministry of Justice, </w:t>
      </w:r>
      <w:r w:rsidR="00490981" w:rsidRPr="00266E6B">
        <w:rPr>
          <w:rFonts w:ascii="Calibri" w:hAnsi="Calibri" w:cs="Calibri"/>
          <w:i/>
          <w:iCs/>
          <w:sz w:val="20"/>
          <w:szCs w:val="20"/>
        </w:rPr>
        <w:t>Assessing Risk of Harm to Children and Parents in Private Law Children Cases Final Report</w:t>
      </w:r>
      <w:r w:rsidR="00490981" w:rsidRPr="00266E6B">
        <w:rPr>
          <w:rFonts w:ascii="Calibri" w:hAnsi="Calibri" w:cs="Calibri"/>
          <w:sz w:val="20"/>
          <w:szCs w:val="20"/>
        </w:rPr>
        <w:t xml:space="preserve"> (Ministry of Justice, 2020)</w:t>
      </w:r>
      <w:r w:rsidR="00341299" w:rsidRPr="00266E6B">
        <w:rPr>
          <w:rFonts w:ascii="Calibri" w:hAnsi="Calibri" w:cs="Calibri"/>
          <w:sz w:val="20"/>
          <w:szCs w:val="20"/>
        </w:rPr>
        <w:t>, p</w:t>
      </w:r>
      <w:r w:rsidR="0084701C">
        <w:rPr>
          <w:rFonts w:ascii="Calibri" w:hAnsi="Calibri" w:cs="Calibri"/>
          <w:sz w:val="20"/>
          <w:szCs w:val="20"/>
        </w:rPr>
        <w:t>.</w:t>
      </w:r>
      <w:r w:rsidR="00341299" w:rsidRPr="00266E6B">
        <w:rPr>
          <w:rFonts w:ascii="Calibri" w:hAnsi="Calibri" w:cs="Calibri"/>
          <w:sz w:val="20"/>
          <w:szCs w:val="20"/>
        </w:rPr>
        <w:t xml:space="preserve"> 69.</w:t>
      </w:r>
    </w:p>
  </w:footnote>
  <w:footnote w:id="27">
    <w:p w14:paraId="4BFCA87D" w14:textId="6BE0A6E2" w:rsidR="006C41EC" w:rsidRPr="0084701C" w:rsidRDefault="006C41EC" w:rsidP="00686DF8">
      <w:pPr>
        <w:pStyle w:val="FootnoteText"/>
        <w:jc w:val="both"/>
        <w:rPr>
          <w:rFonts w:ascii="Calibri" w:hAnsi="Calibri" w:cs="Calibri"/>
        </w:rPr>
      </w:pPr>
      <w:r w:rsidRPr="0084701C">
        <w:rPr>
          <w:rStyle w:val="FootnoteReference"/>
          <w:rFonts w:ascii="Calibri" w:hAnsi="Calibri" w:cs="Calibri"/>
        </w:rPr>
        <w:footnoteRef/>
      </w:r>
      <w:r w:rsidRPr="0084701C">
        <w:rPr>
          <w:rFonts w:ascii="Calibri" w:hAnsi="Calibri" w:cs="Calibri"/>
        </w:rPr>
        <w:t xml:space="preserve"> F Morrison and C Houghton, ‘Children’s human rights in the contexts of domestic abuse and COVID-19.’ (2023) 27(9-10) The International Journal of Human Rights 1353, p 1355-1356.</w:t>
      </w:r>
    </w:p>
  </w:footnote>
  <w:footnote w:id="28">
    <w:p w14:paraId="00D4B782" w14:textId="441FCF90" w:rsidR="00A623FF" w:rsidRPr="00266E6B" w:rsidRDefault="00A623FF" w:rsidP="00686DF8">
      <w:pPr>
        <w:pStyle w:val="FootnoteText"/>
        <w:jc w:val="both"/>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w:t>
      </w:r>
      <w:r w:rsidR="00490981" w:rsidRPr="00266E6B">
        <w:rPr>
          <w:rFonts w:ascii="Calibri" w:hAnsi="Calibri" w:cs="Calibri"/>
        </w:rPr>
        <w:t xml:space="preserve">Ministry of Justice, </w:t>
      </w:r>
      <w:r w:rsidR="00490981" w:rsidRPr="00266E6B">
        <w:rPr>
          <w:rFonts w:ascii="Calibri" w:hAnsi="Calibri" w:cs="Calibri"/>
          <w:i/>
          <w:iCs/>
        </w:rPr>
        <w:t>Assessing Risk of Harm to Children and Parents in Private Law Children Cases Final Report</w:t>
      </w:r>
      <w:r w:rsidR="00490981" w:rsidRPr="00266E6B">
        <w:rPr>
          <w:rFonts w:ascii="Calibri" w:hAnsi="Calibri" w:cs="Calibri"/>
        </w:rPr>
        <w:t xml:space="preserve"> (Ministry of Justice, 2020), </w:t>
      </w:r>
      <w:r w:rsidRPr="00266E6B">
        <w:rPr>
          <w:rFonts w:ascii="Calibri" w:hAnsi="Calibri" w:cs="Calibri"/>
        </w:rPr>
        <w:t>p</w:t>
      </w:r>
      <w:r w:rsidR="0084701C">
        <w:rPr>
          <w:rFonts w:ascii="Calibri" w:hAnsi="Calibri" w:cs="Calibri"/>
        </w:rPr>
        <w:t>.</w:t>
      </w:r>
      <w:r w:rsidRPr="00266E6B">
        <w:rPr>
          <w:rFonts w:ascii="Calibri" w:hAnsi="Calibri" w:cs="Calibri"/>
        </w:rPr>
        <w:t xml:space="preserve"> 68</w:t>
      </w:r>
      <w:r w:rsidR="0084701C">
        <w:rPr>
          <w:rFonts w:ascii="Calibri" w:hAnsi="Calibri" w:cs="Calibri"/>
        </w:rPr>
        <w:t>.</w:t>
      </w:r>
    </w:p>
  </w:footnote>
  <w:footnote w:id="29">
    <w:p w14:paraId="578EE2FB" w14:textId="6E3BA5B1" w:rsidR="00835A29" w:rsidRPr="0084701C" w:rsidRDefault="00835A29">
      <w:pPr>
        <w:pStyle w:val="FootnoteText"/>
        <w:rPr>
          <w:rFonts w:ascii="Calibri" w:hAnsi="Calibri" w:cs="Calibri"/>
        </w:rPr>
      </w:pPr>
      <w:r w:rsidRPr="0084701C">
        <w:rPr>
          <w:rStyle w:val="FootnoteReference"/>
          <w:rFonts w:ascii="Calibri" w:hAnsi="Calibri" w:cs="Calibri"/>
        </w:rPr>
        <w:footnoteRef/>
      </w:r>
      <w:r w:rsidRPr="0084701C">
        <w:rPr>
          <w:rFonts w:ascii="Calibri" w:hAnsi="Calibri" w:cs="Calibri"/>
        </w:rPr>
        <w:t xml:space="preserve"> I Cairns and I Callander, </w:t>
      </w:r>
      <w:r w:rsidR="00490981" w:rsidRPr="0084701C">
        <w:rPr>
          <w:rFonts w:ascii="Calibri" w:hAnsi="Calibri" w:cs="Calibri"/>
        </w:rPr>
        <w:t xml:space="preserve">‘‘Gold Standard’ Legislation for Adults Only: Reconceptualising Children as ‘Adjoined Victims' Under the Domestic Abuse (Scotland) Act 2018.’ </w:t>
      </w:r>
      <w:r w:rsidRPr="0084701C">
        <w:rPr>
          <w:rFonts w:ascii="Calibri" w:hAnsi="Calibri" w:cs="Calibri"/>
        </w:rPr>
        <w:t>(2022) 31(6)</w:t>
      </w:r>
      <w:r w:rsidR="00490981" w:rsidRPr="0084701C">
        <w:rPr>
          <w:rFonts w:ascii="Calibri" w:hAnsi="Calibri" w:cs="Calibri"/>
        </w:rPr>
        <w:t xml:space="preserve"> </w:t>
      </w:r>
      <w:r w:rsidRPr="0084701C">
        <w:rPr>
          <w:rFonts w:ascii="Calibri" w:hAnsi="Calibri" w:cs="Calibri"/>
        </w:rPr>
        <w:t>Social &amp; Legal Studies 914, p</w:t>
      </w:r>
      <w:r w:rsidR="0084701C">
        <w:rPr>
          <w:rFonts w:ascii="Calibri" w:hAnsi="Calibri" w:cs="Calibri"/>
        </w:rPr>
        <w:t xml:space="preserve">. </w:t>
      </w:r>
      <w:r w:rsidRPr="0084701C">
        <w:rPr>
          <w:rFonts w:ascii="Calibri" w:hAnsi="Calibri" w:cs="Calibri"/>
        </w:rPr>
        <w:t>920.</w:t>
      </w:r>
    </w:p>
  </w:footnote>
  <w:footnote w:id="30">
    <w:p w14:paraId="198C336F" w14:textId="464DB943" w:rsidR="00BF483B" w:rsidRPr="00266E6B" w:rsidRDefault="00BF483B" w:rsidP="00686DF8">
      <w:pPr>
        <w:autoSpaceDE w:val="0"/>
        <w:autoSpaceDN w:val="0"/>
        <w:adjustRightInd w:val="0"/>
        <w:jc w:val="both"/>
        <w:rPr>
          <w:rFonts w:ascii="Calibri" w:hAnsi="Calibri" w:cs="Calibri"/>
          <w:kern w:val="0"/>
          <w:sz w:val="20"/>
          <w:szCs w:val="20"/>
        </w:rPr>
      </w:pPr>
      <w:r w:rsidRPr="00266E6B">
        <w:rPr>
          <w:rStyle w:val="FootnoteReference"/>
          <w:rFonts w:ascii="Calibri" w:hAnsi="Calibri" w:cs="Calibri"/>
          <w:sz w:val="20"/>
          <w:szCs w:val="20"/>
        </w:rPr>
        <w:footnoteRef/>
      </w:r>
      <w:r w:rsidRPr="00266E6B">
        <w:rPr>
          <w:rFonts w:ascii="Calibri" w:hAnsi="Calibri" w:cs="Calibri"/>
          <w:sz w:val="20"/>
          <w:szCs w:val="20"/>
        </w:rPr>
        <w:t xml:space="preserve"> </w:t>
      </w:r>
      <w:r w:rsidR="007A00F7">
        <w:rPr>
          <w:rFonts w:ascii="Calibri" w:hAnsi="Calibri" w:cs="Calibri"/>
          <w:sz w:val="20"/>
          <w:szCs w:val="20"/>
        </w:rPr>
        <w:t xml:space="preserve">C </w:t>
      </w:r>
      <w:r w:rsidRPr="00266E6B">
        <w:rPr>
          <w:rFonts w:ascii="Calibri" w:hAnsi="Calibri" w:cs="Calibri"/>
          <w:kern w:val="0"/>
          <w:sz w:val="20"/>
          <w:szCs w:val="20"/>
        </w:rPr>
        <w:t>Smart, ‘A history of ambivalence and conflict in the discursive construction of the ‘child victim’ of sexual abuse’ (1999) 8(3) Social and Legal Studies 391</w:t>
      </w:r>
      <w:r w:rsidR="0084701C">
        <w:rPr>
          <w:rFonts w:ascii="Calibri" w:hAnsi="Calibri" w:cs="Calibri"/>
          <w:kern w:val="0"/>
          <w:sz w:val="20"/>
          <w:szCs w:val="20"/>
        </w:rPr>
        <w:t>.</w:t>
      </w:r>
    </w:p>
  </w:footnote>
  <w:footnote w:id="31">
    <w:p w14:paraId="0FDF5495" w14:textId="2EC922FF" w:rsidR="00BF483B" w:rsidRPr="00266E6B" w:rsidRDefault="00BF483B" w:rsidP="00686DF8">
      <w:pPr>
        <w:pStyle w:val="FootnoteText"/>
        <w:jc w:val="both"/>
        <w:rPr>
          <w:rFonts w:ascii="Calibri" w:hAnsi="Calibri" w:cs="Calibri"/>
          <w:i/>
          <w:iCs/>
          <w:kern w:val="0"/>
        </w:rPr>
      </w:pPr>
      <w:r w:rsidRPr="00266E6B">
        <w:rPr>
          <w:rStyle w:val="FootnoteReference"/>
          <w:rFonts w:ascii="Calibri" w:hAnsi="Calibri" w:cs="Calibri"/>
        </w:rPr>
        <w:footnoteRef/>
      </w:r>
      <w:r w:rsidRPr="00266E6B">
        <w:rPr>
          <w:rFonts w:ascii="Calibri" w:hAnsi="Calibri" w:cs="Calibri"/>
        </w:rPr>
        <w:t xml:space="preserve"> </w:t>
      </w:r>
      <w:r w:rsidR="006836AD" w:rsidRPr="00266E6B">
        <w:rPr>
          <w:rFonts w:ascii="Calibri" w:hAnsi="Calibri" w:cs="Calibri"/>
          <w:kern w:val="0"/>
        </w:rPr>
        <w:t xml:space="preserve">J </w:t>
      </w:r>
      <w:r w:rsidRPr="00266E6B">
        <w:rPr>
          <w:rFonts w:ascii="Calibri" w:hAnsi="Calibri" w:cs="Calibri"/>
          <w:kern w:val="0"/>
        </w:rPr>
        <w:t xml:space="preserve">Nelles, </w:t>
      </w:r>
      <w:r w:rsidR="006836AD" w:rsidRPr="00266E6B">
        <w:rPr>
          <w:rFonts w:ascii="Calibri" w:hAnsi="Calibri" w:cs="Calibri"/>
          <w:kern w:val="0"/>
        </w:rPr>
        <w:t>‘Losing sight of the abuse: how and why women’s and children’s rights are violated in child contact decisions after intimate partner violence in Europe’ (</w:t>
      </w:r>
      <w:r w:rsidRPr="00266E6B">
        <w:rPr>
          <w:rFonts w:ascii="Calibri" w:hAnsi="Calibri" w:cs="Calibri"/>
          <w:kern w:val="0"/>
        </w:rPr>
        <w:t>2024)</w:t>
      </w:r>
      <w:r w:rsidR="006836AD" w:rsidRPr="00266E6B">
        <w:rPr>
          <w:rFonts w:ascii="Calibri" w:hAnsi="Calibri" w:cs="Calibri"/>
          <w:kern w:val="0"/>
        </w:rPr>
        <w:t xml:space="preserve"> 28(6) The International Journal of Human Rights 1030</w:t>
      </w:r>
      <w:r w:rsidR="007A00F7">
        <w:rPr>
          <w:rFonts w:ascii="Calibri" w:hAnsi="Calibri" w:cs="Calibri"/>
          <w:kern w:val="0"/>
        </w:rPr>
        <w:t>.</w:t>
      </w:r>
    </w:p>
  </w:footnote>
  <w:footnote w:id="32">
    <w:p w14:paraId="0272E435" w14:textId="01506E97" w:rsidR="00B86E88" w:rsidRPr="0084701C" w:rsidRDefault="00B86E88">
      <w:pPr>
        <w:pStyle w:val="FootnoteText"/>
        <w:rPr>
          <w:rFonts w:ascii="Calibri" w:hAnsi="Calibri" w:cs="Calibri"/>
        </w:rPr>
      </w:pPr>
      <w:r w:rsidRPr="0084701C">
        <w:rPr>
          <w:rStyle w:val="FootnoteReference"/>
          <w:rFonts w:ascii="Calibri" w:hAnsi="Calibri" w:cs="Calibri"/>
        </w:rPr>
        <w:footnoteRef/>
      </w:r>
      <w:r w:rsidRPr="0084701C">
        <w:rPr>
          <w:rFonts w:ascii="Calibri" w:hAnsi="Calibri" w:cs="Calibri"/>
        </w:rPr>
        <w:t xml:space="preserve"> See I Cairns and I Callander, </w:t>
      </w:r>
      <w:r w:rsidR="00490981" w:rsidRPr="0084701C">
        <w:rPr>
          <w:rFonts w:ascii="Calibri" w:hAnsi="Calibri" w:cs="Calibri"/>
        </w:rPr>
        <w:t xml:space="preserve">‘‘Gold Standard’ Legislation for Adults Only: Reconceptualising Children as ‘Adjoined Victims' Under the Domestic Abuse (Scotland) Act 2018.’ </w:t>
      </w:r>
      <w:r w:rsidRPr="0084701C">
        <w:rPr>
          <w:rFonts w:ascii="Calibri" w:hAnsi="Calibri" w:cs="Calibri"/>
        </w:rPr>
        <w:t>(2022) 31</w:t>
      </w:r>
      <w:r w:rsidR="00490981" w:rsidRPr="0084701C">
        <w:rPr>
          <w:rFonts w:ascii="Calibri" w:hAnsi="Calibri" w:cs="Calibri"/>
        </w:rPr>
        <w:t>(</w:t>
      </w:r>
      <w:r w:rsidRPr="0084701C">
        <w:rPr>
          <w:rFonts w:ascii="Calibri" w:hAnsi="Calibri" w:cs="Calibri"/>
        </w:rPr>
        <w:t>6)</w:t>
      </w:r>
      <w:r w:rsidR="00490981" w:rsidRPr="0084701C">
        <w:rPr>
          <w:rFonts w:ascii="Calibri" w:hAnsi="Calibri" w:cs="Calibri"/>
        </w:rPr>
        <w:t xml:space="preserve"> </w:t>
      </w:r>
      <w:r w:rsidRPr="0084701C">
        <w:rPr>
          <w:rFonts w:ascii="Calibri" w:hAnsi="Calibri" w:cs="Calibri"/>
        </w:rPr>
        <w:t>Social &amp; Legal Studies 914, p.</w:t>
      </w:r>
      <w:r w:rsidR="0084701C">
        <w:rPr>
          <w:rFonts w:ascii="Calibri" w:hAnsi="Calibri" w:cs="Calibri"/>
        </w:rPr>
        <w:t xml:space="preserve"> </w:t>
      </w:r>
      <w:r w:rsidRPr="0084701C">
        <w:rPr>
          <w:rFonts w:ascii="Calibri" w:hAnsi="Calibri" w:cs="Calibri"/>
        </w:rPr>
        <w:t>933.</w:t>
      </w:r>
    </w:p>
  </w:footnote>
  <w:footnote w:id="33">
    <w:p w14:paraId="44B5B9B9" w14:textId="336CBAB0" w:rsidR="00EF3C30" w:rsidRPr="0084701C" w:rsidRDefault="00EF3C30">
      <w:pPr>
        <w:pStyle w:val="FootnoteText"/>
        <w:rPr>
          <w:rFonts w:ascii="Calibri" w:hAnsi="Calibri" w:cs="Calibri"/>
        </w:rPr>
      </w:pPr>
      <w:r w:rsidRPr="0084701C">
        <w:rPr>
          <w:rStyle w:val="FootnoteReference"/>
          <w:rFonts w:ascii="Calibri" w:hAnsi="Calibri" w:cs="Calibri"/>
        </w:rPr>
        <w:footnoteRef/>
      </w:r>
      <w:r w:rsidRPr="0084701C">
        <w:rPr>
          <w:rFonts w:ascii="Calibri" w:hAnsi="Calibri" w:cs="Calibri"/>
        </w:rPr>
        <w:t xml:space="preserve"> F Morrison and C Houghton, ‘Children’s human rights in the contexts of domestic abuse and COVID-19.’ (2023) 27(9-10) The International Journal of Human Rights 1353, p. 1356.</w:t>
      </w:r>
    </w:p>
  </w:footnote>
  <w:footnote w:id="34">
    <w:p w14:paraId="449F68B7" w14:textId="77777777" w:rsidR="00B96338" w:rsidRPr="00266E6B" w:rsidRDefault="00B96338" w:rsidP="00B96338">
      <w:pPr>
        <w:pStyle w:val="FootnoteText"/>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See e.g. H Douglas and E Fell, ‘Malicious reports of child maltreatment as coercive control: Mothers</w:t>
      </w:r>
    </w:p>
    <w:p w14:paraId="32810A46" w14:textId="77777777" w:rsidR="00B96338" w:rsidRPr="00266E6B" w:rsidRDefault="00B96338" w:rsidP="00B96338">
      <w:pPr>
        <w:pStyle w:val="FootnoteText"/>
        <w:rPr>
          <w:rFonts w:ascii="Calibri" w:hAnsi="Calibri" w:cs="Calibri"/>
        </w:rPr>
      </w:pPr>
      <w:r w:rsidRPr="00266E6B">
        <w:rPr>
          <w:rFonts w:ascii="Calibri" w:hAnsi="Calibri" w:cs="Calibri"/>
        </w:rPr>
        <w:t>and domestic and family violence’ (2020) 35(8) Journal of Family Violence 827.</w:t>
      </w:r>
    </w:p>
  </w:footnote>
  <w:footnote w:id="35">
    <w:p w14:paraId="33ADC38D" w14:textId="75505A70" w:rsidR="00F71F0C" w:rsidRPr="00266E6B" w:rsidRDefault="00F71F0C" w:rsidP="00F71F0C">
      <w:pPr>
        <w:autoSpaceDE w:val="0"/>
        <w:autoSpaceDN w:val="0"/>
        <w:adjustRightInd w:val="0"/>
        <w:rPr>
          <w:rFonts w:ascii="Calibri" w:hAnsi="Calibri" w:cs="Calibri"/>
          <w:kern w:val="0"/>
          <w:sz w:val="20"/>
          <w:szCs w:val="20"/>
        </w:rPr>
      </w:pPr>
      <w:r w:rsidRPr="00266E6B">
        <w:rPr>
          <w:rStyle w:val="FootnoteReference"/>
          <w:rFonts w:ascii="Calibri" w:hAnsi="Calibri" w:cs="Calibri"/>
          <w:sz w:val="20"/>
          <w:szCs w:val="20"/>
        </w:rPr>
        <w:footnoteRef/>
      </w:r>
      <w:r w:rsidRPr="00266E6B">
        <w:rPr>
          <w:rFonts w:ascii="Calibri" w:hAnsi="Calibri" w:cs="Calibri"/>
          <w:sz w:val="20"/>
          <w:szCs w:val="20"/>
        </w:rPr>
        <w:t xml:space="preserve"> </w:t>
      </w:r>
      <w:r w:rsidRPr="00266E6B">
        <w:rPr>
          <w:rFonts w:ascii="Calibri" w:hAnsi="Calibri" w:cs="Calibri"/>
          <w:kern w:val="0"/>
          <w:sz w:val="20"/>
          <w:szCs w:val="20"/>
        </w:rPr>
        <w:t xml:space="preserve">M Burman and others, </w:t>
      </w:r>
      <w:r w:rsidRPr="00266E6B">
        <w:rPr>
          <w:rFonts w:ascii="Calibri" w:hAnsi="Calibri" w:cs="Calibri"/>
          <w:i/>
          <w:iCs/>
          <w:kern w:val="0"/>
          <w:sz w:val="20"/>
          <w:szCs w:val="20"/>
        </w:rPr>
        <w:t xml:space="preserve">Domestic Abuse and Child Contact: The Interface Between Criminal and Civil Proceedings </w:t>
      </w:r>
      <w:r w:rsidRPr="00266E6B">
        <w:rPr>
          <w:rFonts w:ascii="Calibri" w:hAnsi="Calibri" w:cs="Calibri"/>
          <w:kern w:val="0"/>
          <w:sz w:val="20"/>
          <w:szCs w:val="20"/>
        </w:rPr>
        <w:t>(SCCJR, 2023)</w:t>
      </w:r>
      <w:r w:rsidR="007A00F7">
        <w:rPr>
          <w:rFonts w:ascii="Calibri" w:hAnsi="Calibri" w:cs="Calibri"/>
          <w:kern w:val="0"/>
          <w:sz w:val="20"/>
          <w:szCs w:val="20"/>
        </w:rPr>
        <w:t>.</w:t>
      </w:r>
    </w:p>
  </w:footnote>
  <w:footnote w:id="36">
    <w:p w14:paraId="57E3E5F4" w14:textId="06031AF9" w:rsidR="00F71F0C" w:rsidRPr="00266E6B" w:rsidRDefault="00F71F0C" w:rsidP="007A00F7">
      <w:pPr>
        <w:pStyle w:val="FootnoteText"/>
        <w:jc w:val="both"/>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F Morrison, E KM Tisdall &amp; JEM Callaghan, ‘Manipulation and Domestic Abuse in Contested Contact – Threats to Children’s Participation Rights’ (2020) 58</w:t>
      </w:r>
      <w:r w:rsidR="0084701C">
        <w:rPr>
          <w:rFonts w:ascii="Calibri" w:hAnsi="Calibri" w:cs="Calibri"/>
        </w:rPr>
        <w:t xml:space="preserve">(2) </w:t>
      </w:r>
      <w:r w:rsidRPr="00266E6B">
        <w:rPr>
          <w:rFonts w:ascii="Calibri" w:hAnsi="Calibri" w:cs="Calibri"/>
        </w:rPr>
        <w:t xml:space="preserve">Family Court Review 403, </w:t>
      </w:r>
      <w:r w:rsidR="0084701C">
        <w:rPr>
          <w:rFonts w:ascii="Calibri" w:hAnsi="Calibri" w:cs="Calibri"/>
        </w:rPr>
        <w:t>p.</w:t>
      </w:r>
      <w:r w:rsidRPr="00266E6B">
        <w:rPr>
          <w:rFonts w:ascii="Calibri" w:hAnsi="Calibri" w:cs="Calibri"/>
        </w:rPr>
        <w:t xml:space="preserve"> 407. </w:t>
      </w:r>
    </w:p>
  </w:footnote>
  <w:footnote w:id="37">
    <w:p w14:paraId="5CF9A645" w14:textId="60A684A9" w:rsidR="00F71F0C" w:rsidRPr="00266E6B" w:rsidRDefault="00F71F0C" w:rsidP="007A00F7">
      <w:pPr>
        <w:jc w:val="both"/>
        <w:rPr>
          <w:rFonts w:ascii="Calibri" w:hAnsi="Calibri" w:cs="Calibri"/>
          <w:sz w:val="20"/>
          <w:szCs w:val="20"/>
        </w:rPr>
      </w:pPr>
      <w:r w:rsidRPr="00266E6B">
        <w:rPr>
          <w:rStyle w:val="FootnoteReference"/>
          <w:rFonts w:ascii="Calibri" w:hAnsi="Calibri" w:cs="Calibri"/>
          <w:sz w:val="20"/>
          <w:szCs w:val="20"/>
        </w:rPr>
        <w:footnoteRef/>
      </w:r>
      <w:r w:rsidRPr="00266E6B">
        <w:rPr>
          <w:rFonts w:ascii="Calibri" w:hAnsi="Calibri" w:cs="Calibri"/>
          <w:sz w:val="20"/>
          <w:szCs w:val="20"/>
        </w:rPr>
        <w:t xml:space="preserve"> </w:t>
      </w:r>
      <w:r w:rsidRPr="00266E6B">
        <w:rPr>
          <w:rFonts w:ascii="Calibri" w:hAnsi="Calibri" w:cs="Calibri"/>
          <w:i/>
          <w:iCs/>
          <w:sz w:val="20"/>
          <w:szCs w:val="20"/>
        </w:rPr>
        <w:t>Luca v Moldova (55351/17) unreported 17 October 2023 (ECHR</w:t>
      </w:r>
      <w:proofErr w:type="gramStart"/>
      <w:r w:rsidRPr="00266E6B">
        <w:rPr>
          <w:rFonts w:ascii="Calibri" w:hAnsi="Calibri" w:cs="Calibri"/>
          <w:i/>
          <w:iCs/>
          <w:sz w:val="20"/>
          <w:szCs w:val="20"/>
        </w:rPr>
        <w:t>);  IM</w:t>
      </w:r>
      <w:proofErr w:type="gramEnd"/>
      <w:r w:rsidRPr="00266E6B">
        <w:rPr>
          <w:rFonts w:ascii="Calibri" w:hAnsi="Calibri" w:cs="Calibri"/>
          <w:i/>
          <w:iCs/>
          <w:sz w:val="20"/>
          <w:szCs w:val="20"/>
        </w:rPr>
        <w:t xml:space="preserve"> v Italy (25426/20) unreported November 2022 (ECHR); </w:t>
      </w:r>
      <w:proofErr w:type="spellStart"/>
      <w:r w:rsidRPr="00266E6B">
        <w:rPr>
          <w:rFonts w:ascii="Calibri" w:hAnsi="Calibri" w:cs="Calibri"/>
          <w:i/>
          <w:iCs/>
          <w:sz w:val="20"/>
          <w:szCs w:val="20"/>
        </w:rPr>
        <w:t>Bizdiga</w:t>
      </w:r>
      <w:proofErr w:type="spellEnd"/>
      <w:r w:rsidRPr="00266E6B">
        <w:rPr>
          <w:rFonts w:ascii="Calibri" w:hAnsi="Calibri" w:cs="Calibri"/>
          <w:i/>
          <w:iCs/>
          <w:sz w:val="20"/>
          <w:szCs w:val="20"/>
        </w:rPr>
        <w:t xml:space="preserve"> v Moldova</w:t>
      </w:r>
      <w:r w:rsidRPr="00266E6B">
        <w:rPr>
          <w:rFonts w:ascii="Calibri" w:hAnsi="Calibri" w:cs="Calibri"/>
          <w:sz w:val="20"/>
          <w:szCs w:val="20"/>
        </w:rPr>
        <w:t xml:space="preserve"> (</w:t>
      </w:r>
      <w:r w:rsidRPr="00266E6B">
        <w:rPr>
          <w:rFonts w:ascii="Calibri" w:hAnsi="Calibri" w:cs="Calibri"/>
          <w:i/>
          <w:iCs/>
          <w:sz w:val="20"/>
          <w:szCs w:val="20"/>
        </w:rPr>
        <w:t xml:space="preserve">15646/18) unreported 17 October 2023 (ECHR).  </w:t>
      </w:r>
      <w:r w:rsidRPr="00266E6B">
        <w:rPr>
          <w:rFonts w:ascii="Calibri" w:hAnsi="Calibri" w:cs="Calibri"/>
          <w:sz w:val="20"/>
          <w:szCs w:val="20"/>
        </w:rPr>
        <w:t>For discussion, see J Nelles, ‘Losing sight of the abuse: how and why women’s and children’s rights are violated in child contact decisions after intimate partner violence in Europe’ (2024) 28</w:t>
      </w:r>
      <w:r w:rsidR="00266E6B" w:rsidRPr="00266E6B">
        <w:rPr>
          <w:rFonts w:ascii="Calibri" w:hAnsi="Calibri" w:cs="Calibri"/>
          <w:sz w:val="20"/>
          <w:szCs w:val="20"/>
        </w:rPr>
        <w:t>(</w:t>
      </w:r>
      <w:r w:rsidRPr="00266E6B">
        <w:rPr>
          <w:rFonts w:ascii="Calibri" w:hAnsi="Calibri" w:cs="Calibri"/>
          <w:sz w:val="20"/>
          <w:szCs w:val="20"/>
        </w:rPr>
        <w:t>6</w:t>
      </w:r>
      <w:r w:rsidR="00266E6B" w:rsidRPr="00266E6B">
        <w:rPr>
          <w:rFonts w:ascii="Calibri" w:hAnsi="Calibri" w:cs="Calibri"/>
          <w:sz w:val="20"/>
          <w:szCs w:val="20"/>
        </w:rPr>
        <w:t>)</w:t>
      </w:r>
      <w:r w:rsidRPr="00266E6B">
        <w:rPr>
          <w:rFonts w:ascii="Calibri" w:hAnsi="Calibri" w:cs="Calibri"/>
          <w:sz w:val="20"/>
          <w:szCs w:val="20"/>
        </w:rPr>
        <w:t xml:space="preserve"> International Journal or Human Rights 2023.  </w:t>
      </w:r>
    </w:p>
    <w:p w14:paraId="706C7CBB" w14:textId="77777777" w:rsidR="00F71F0C" w:rsidRPr="00266E6B" w:rsidRDefault="00F71F0C" w:rsidP="00F71F0C">
      <w:pPr>
        <w:rPr>
          <w:rFonts w:ascii="Calibri" w:hAnsi="Calibri" w:cs="Calibri"/>
          <w:i/>
          <w:iCs/>
          <w:sz w:val="20"/>
          <w:szCs w:val="20"/>
        </w:rPr>
      </w:pPr>
    </w:p>
  </w:footnote>
  <w:footnote w:id="38">
    <w:p w14:paraId="0CF9FFB5" w14:textId="77777777" w:rsidR="00F71F0C" w:rsidRPr="00266E6B" w:rsidRDefault="00F71F0C" w:rsidP="00F71F0C">
      <w:pPr>
        <w:pStyle w:val="FootnoteText"/>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We refer to the evidence cited in paras 7.100-7.12 of the Discussion Paper.   </w:t>
      </w:r>
    </w:p>
  </w:footnote>
  <w:footnote w:id="39">
    <w:p w14:paraId="6DD37A46" w14:textId="77777777" w:rsidR="00F71F0C" w:rsidRPr="00266E6B" w:rsidRDefault="00F71F0C" w:rsidP="00F71F0C">
      <w:pPr>
        <w:jc w:val="both"/>
        <w:rPr>
          <w:rFonts w:ascii="Calibri" w:hAnsi="Calibri" w:cs="Calibri"/>
          <w:sz w:val="20"/>
          <w:szCs w:val="20"/>
        </w:rPr>
      </w:pPr>
      <w:r w:rsidRPr="00266E6B">
        <w:rPr>
          <w:rStyle w:val="FootnoteReference"/>
          <w:rFonts w:ascii="Calibri" w:hAnsi="Calibri" w:cs="Calibri"/>
          <w:sz w:val="20"/>
          <w:szCs w:val="20"/>
        </w:rPr>
        <w:footnoteRef/>
      </w:r>
      <w:r w:rsidRPr="00266E6B">
        <w:rPr>
          <w:rFonts w:ascii="Calibri" w:hAnsi="Calibri" w:cs="Calibri"/>
          <w:sz w:val="20"/>
          <w:szCs w:val="20"/>
        </w:rPr>
        <w:t xml:space="preserve"> </w:t>
      </w:r>
      <w:r w:rsidRPr="00266E6B">
        <w:rPr>
          <w:rFonts w:ascii="Calibri" w:hAnsi="Calibri" w:cs="Calibri"/>
          <w:kern w:val="0"/>
          <w:sz w:val="20"/>
          <w:szCs w:val="20"/>
        </w:rPr>
        <w:t>F Morrison, EKM Tisdall and JE Callaghan, ‘Manipulation and domestic abuse in contested contact–Threats to children's participation rights’ (2020) 58(2) Family Court Review 403</w:t>
      </w:r>
      <w:r w:rsidRPr="00266E6B">
        <w:rPr>
          <w:rFonts w:ascii="Calibri" w:hAnsi="Calibri" w:cs="Calibri"/>
          <w:sz w:val="20"/>
          <w:szCs w:val="20"/>
        </w:rPr>
        <w:t>; see also Macdonald, ‘Hearing children’s voices? Including children’s perspectives on their experiences of domestic violence in welfare reports prepared for the English courts in private family law proceedings’ (2017) 65 Child Abuse and Neglect 1.</w:t>
      </w:r>
    </w:p>
  </w:footnote>
  <w:footnote w:id="40">
    <w:p w14:paraId="6506C01F" w14:textId="77777777" w:rsidR="00F71F0C" w:rsidRPr="00266E6B" w:rsidRDefault="00F71F0C" w:rsidP="00F71F0C">
      <w:pPr>
        <w:pStyle w:val="FootnoteText"/>
        <w:jc w:val="both"/>
        <w:rPr>
          <w:rFonts w:ascii="Calibri" w:hAnsi="Calibri" w:cs="Calibri"/>
        </w:rPr>
      </w:pPr>
      <w:r w:rsidRPr="00266E6B">
        <w:rPr>
          <w:rStyle w:val="FootnoteReference"/>
          <w:rFonts w:ascii="Calibri" w:hAnsi="Calibri" w:cs="Calibri"/>
        </w:rPr>
        <w:footnoteRef/>
      </w:r>
      <w:r w:rsidRPr="00266E6B">
        <w:rPr>
          <w:rFonts w:ascii="Calibri" w:hAnsi="Calibri" w:cs="Calibri"/>
        </w:rPr>
        <w:t xml:space="preserve"> </w:t>
      </w:r>
      <w:r w:rsidRPr="00266E6B">
        <w:rPr>
          <w:rFonts w:ascii="Calibri" w:hAnsi="Calibri" w:cs="Calibri"/>
          <w:kern w:val="0"/>
        </w:rPr>
        <w:t>F Morrison, EKM Tisdall and JE Callaghan, ‘Manipulation and domestic abuse in contested contact–Threats to children's participation rights’ (2020) 58(2) Family Court Review 403.</w:t>
      </w:r>
    </w:p>
  </w:footnote>
  <w:footnote w:id="41">
    <w:p w14:paraId="4F05464B" w14:textId="351FF829" w:rsidR="00F71F0C" w:rsidRPr="00266E6B" w:rsidRDefault="00F71F0C" w:rsidP="00F71F0C">
      <w:pPr>
        <w:rPr>
          <w:rFonts w:ascii="Calibri" w:hAnsi="Calibri" w:cs="Calibri"/>
          <w:sz w:val="20"/>
          <w:szCs w:val="20"/>
        </w:rPr>
      </w:pPr>
      <w:r w:rsidRPr="00266E6B">
        <w:rPr>
          <w:rStyle w:val="FootnoteReference"/>
          <w:rFonts w:ascii="Calibri" w:hAnsi="Calibri" w:cs="Calibri"/>
          <w:sz w:val="20"/>
          <w:szCs w:val="20"/>
        </w:rPr>
        <w:footnoteRef/>
      </w:r>
      <w:r w:rsidRPr="00266E6B">
        <w:rPr>
          <w:rFonts w:ascii="Calibri" w:hAnsi="Calibri" w:cs="Calibri"/>
          <w:sz w:val="20"/>
          <w:szCs w:val="20"/>
        </w:rPr>
        <w:t>For full discussion see R McPherson</w:t>
      </w:r>
      <w:r w:rsidR="0084701C">
        <w:rPr>
          <w:rFonts w:ascii="Calibri" w:hAnsi="Calibri" w:cs="Calibri"/>
          <w:sz w:val="20"/>
          <w:szCs w:val="20"/>
        </w:rPr>
        <w:t xml:space="preserve">, </w:t>
      </w:r>
      <w:r w:rsidRPr="00266E6B">
        <w:rPr>
          <w:rFonts w:ascii="Calibri" w:hAnsi="Calibri" w:cs="Calibri"/>
          <w:sz w:val="20"/>
          <w:szCs w:val="20"/>
        </w:rPr>
        <w:t>‘Unintended consequences of non-harassment orders: child contact decision-making’ (2022) 44(4) Journal of Social Welfare and Family Law 495</w:t>
      </w:r>
      <w:r w:rsidR="0084701C">
        <w:rPr>
          <w:rFonts w:ascii="Calibri" w:hAnsi="Calibri" w:cs="Calibri"/>
          <w:sz w:val="20"/>
          <w:szCs w:val="20"/>
        </w:rPr>
        <w:t>.</w:t>
      </w:r>
    </w:p>
    <w:p w14:paraId="18668DB4" w14:textId="77777777" w:rsidR="00F71F0C" w:rsidRPr="00266E6B" w:rsidRDefault="00F71F0C" w:rsidP="00F71F0C">
      <w:pPr>
        <w:pStyle w:val="FootnoteText"/>
        <w:rPr>
          <w:rFonts w:ascii="Calibri" w:hAnsi="Calibri" w:cs="Calibri"/>
        </w:rPr>
      </w:pPr>
    </w:p>
  </w:footnote>
  <w:footnote w:id="42">
    <w:p w14:paraId="3156FFCB" w14:textId="77777777" w:rsidR="00F71F0C" w:rsidRPr="00266E6B" w:rsidRDefault="00F71F0C" w:rsidP="00F71F0C">
      <w:pPr>
        <w:pStyle w:val="FootnoteText"/>
        <w:rPr>
          <w:rFonts w:ascii="Calibri" w:hAnsi="Calibri"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09E"/>
    <w:multiLevelType w:val="hybridMultilevel"/>
    <w:tmpl w:val="C20272E4"/>
    <w:lvl w:ilvl="0" w:tplc="32B803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F3F6E"/>
    <w:multiLevelType w:val="hybridMultilevel"/>
    <w:tmpl w:val="18688B60"/>
    <w:lvl w:ilvl="0" w:tplc="C046E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3151E"/>
    <w:multiLevelType w:val="hybridMultilevel"/>
    <w:tmpl w:val="F498102A"/>
    <w:lvl w:ilvl="0" w:tplc="CDC81B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CE1A72"/>
    <w:multiLevelType w:val="hybridMultilevel"/>
    <w:tmpl w:val="9AA4F93A"/>
    <w:lvl w:ilvl="0" w:tplc="479CC3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E761E"/>
    <w:multiLevelType w:val="hybridMultilevel"/>
    <w:tmpl w:val="8B549768"/>
    <w:lvl w:ilvl="0" w:tplc="7DEA04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EC0109"/>
    <w:multiLevelType w:val="hybridMultilevel"/>
    <w:tmpl w:val="CBAC3A90"/>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97"/>
    <w:multiLevelType w:val="hybridMultilevel"/>
    <w:tmpl w:val="05004524"/>
    <w:lvl w:ilvl="0" w:tplc="AED257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0F6E92"/>
    <w:multiLevelType w:val="hybridMultilevel"/>
    <w:tmpl w:val="69C8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D59F1"/>
    <w:multiLevelType w:val="hybridMultilevel"/>
    <w:tmpl w:val="731A4274"/>
    <w:lvl w:ilvl="0" w:tplc="86E8D3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4C5736"/>
    <w:multiLevelType w:val="hybridMultilevel"/>
    <w:tmpl w:val="90384384"/>
    <w:lvl w:ilvl="0" w:tplc="125A73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1162DFB"/>
    <w:multiLevelType w:val="hybridMultilevel"/>
    <w:tmpl w:val="8A22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655141"/>
    <w:multiLevelType w:val="hybridMultilevel"/>
    <w:tmpl w:val="CF9E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8E0B1F"/>
    <w:multiLevelType w:val="hybridMultilevel"/>
    <w:tmpl w:val="FF9C9B7A"/>
    <w:lvl w:ilvl="0" w:tplc="21BCA3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2157450">
    <w:abstractNumId w:val="11"/>
  </w:num>
  <w:num w:numId="2" w16cid:durableId="1012029527">
    <w:abstractNumId w:val="7"/>
  </w:num>
  <w:num w:numId="3" w16cid:durableId="2023049680">
    <w:abstractNumId w:val="5"/>
  </w:num>
  <w:num w:numId="4" w16cid:durableId="202210820">
    <w:abstractNumId w:val="3"/>
  </w:num>
  <w:num w:numId="5" w16cid:durableId="811674314">
    <w:abstractNumId w:val="4"/>
  </w:num>
  <w:num w:numId="6" w16cid:durableId="632178497">
    <w:abstractNumId w:val="8"/>
  </w:num>
  <w:num w:numId="7" w16cid:durableId="525024742">
    <w:abstractNumId w:val="6"/>
  </w:num>
  <w:num w:numId="8" w16cid:durableId="323975089">
    <w:abstractNumId w:val="12"/>
  </w:num>
  <w:num w:numId="9" w16cid:durableId="1337227504">
    <w:abstractNumId w:val="1"/>
  </w:num>
  <w:num w:numId="10" w16cid:durableId="565381172">
    <w:abstractNumId w:val="10"/>
  </w:num>
  <w:num w:numId="11" w16cid:durableId="587614265">
    <w:abstractNumId w:val="2"/>
  </w:num>
  <w:num w:numId="12" w16cid:durableId="701563883">
    <w:abstractNumId w:val="9"/>
  </w:num>
  <w:num w:numId="13" w16cid:durableId="1292635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C4"/>
    <w:rsid w:val="0000129E"/>
    <w:rsid w:val="000124BD"/>
    <w:rsid w:val="0006166B"/>
    <w:rsid w:val="00064FDC"/>
    <w:rsid w:val="00066104"/>
    <w:rsid w:val="00071F33"/>
    <w:rsid w:val="00073BD7"/>
    <w:rsid w:val="00080E0D"/>
    <w:rsid w:val="00094F48"/>
    <w:rsid w:val="000A0359"/>
    <w:rsid w:val="000A13BB"/>
    <w:rsid w:val="000A4055"/>
    <w:rsid w:val="000A7032"/>
    <w:rsid w:val="000B7368"/>
    <w:rsid w:val="000C2A6C"/>
    <w:rsid w:val="000D5812"/>
    <w:rsid w:val="000D60F0"/>
    <w:rsid w:val="000E5DEC"/>
    <w:rsid w:val="001230C7"/>
    <w:rsid w:val="00134971"/>
    <w:rsid w:val="001400AC"/>
    <w:rsid w:val="001675FF"/>
    <w:rsid w:val="00173BF4"/>
    <w:rsid w:val="00184D0E"/>
    <w:rsid w:val="0019022D"/>
    <w:rsid w:val="001A4BD0"/>
    <w:rsid w:val="001B737B"/>
    <w:rsid w:val="001C29BF"/>
    <w:rsid w:val="001C5BB0"/>
    <w:rsid w:val="001D5A7C"/>
    <w:rsid w:val="001E1276"/>
    <w:rsid w:val="001F4326"/>
    <w:rsid w:val="001F5969"/>
    <w:rsid w:val="001F687A"/>
    <w:rsid w:val="00214539"/>
    <w:rsid w:val="002217A7"/>
    <w:rsid w:val="0022235F"/>
    <w:rsid w:val="00241069"/>
    <w:rsid w:val="002465DD"/>
    <w:rsid w:val="00251109"/>
    <w:rsid w:val="002541E3"/>
    <w:rsid w:val="00263648"/>
    <w:rsid w:val="00264571"/>
    <w:rsid w:val="002654C5"/>
    <w:rsid w:val="00266E6B"/>
    <w:rsid w:val="00281024"/>
    <w:rsid w:val="00282C2C"/>
    <w:rsid w:val="0028422A"/>
    <w:rsid w:val="00287E88"/>
    <w:rsid w:val="00297544"/>
    <w:rsid w:val="00297ED9"/>
    <w:rsid w:val="002A001A"/>
    <w:rsid w:val="002A45A6"/>
    <w:rsid w:val="002A7B95"/>
    <w:rsid w:val="002B1799"/>
    <w:rsid w:val="002B2422"/>
    <w:rsid w:val="002B60A5"/>
    <w:rsid w:val="002C114A"/>
    <w:rsid w:val="002C5250"/>
    <w:rsid w:val="002D51C0"/>
    <w:rsid w:val="002D60B6"/>
    <w:rsid w:val="002D6A14"/>
    <w:rsid w:val="002E2707"/>
    <w:rsid w:val="00301064"/>
    <w:rsid w:val="003038B9"/>
    <w:rsid w:val="003112F6"/>
    <w:rsid w:val="0031168C"/>
    <w:rsid w:val="00312C46"/>
    <w:rsid w:val="0031624F"/>
    <w:rsid w:val="003213EE"/>
    <w:rsid w:val="00324CF4"/>
    <w:rsid w:val="003329C6"/>
    <w:rsid w:val="003354DF"/>
    <w:rsid w:val="00336B3B"/>
    <w:rsid w:val="00341299"/>
    <w:rsid w:val="00351DCB"/>
    <w:rsid w:val="00355AD9"/>
    <w:rsid w:val="0036001D"/>
    <w:rsid w:val="00372723"/>
    <w:rsid w:val="00374C11"/>
    <w:rsid w:val="00385596"/>
    <w:rsid w:val="003901B9"/>
    <w:rsid w:val="00393FD1"/>
    <w:rsid w:val="003A4970"/>
    <w:rsid w:val="003B00A7"/>
    <w:rsid w:val="003B30D5"/>
    <w:rsid w:val="003B3A13"/>
    <w:rsid w:val="003B4C00"/>
    <w:rsid w:val="003D1701"/>
    <w:rsid w:val="00401BDD"/>
    <w:rsid w:val="00402A02"/>
    <w:rsid w:val="00415297"/>
    <w:rsid w:val="00417B00"/>
    <w:rsid w:val="004271C8"/>
    <w:rsid w:val="00430A60"/>
    <w:rsid w:val="00431D77"/>
    <w:rsid w:val="00450262"/>
    <w:rsid w:val="00455BA3"/>
    <w:rsid w:val="00456B5E"/>
    <w:rsid w:val="00471766"/>
    <w:rsid w:val="004808FA"/>
    <w:rsid w:val="00490981"/>
    <w:rsid w:val="00495A46"/>
    <w:rsid w:val="004A074C"/>
    <w:rsid w:val="004C01DA"/>
    <w:rsid w:val="004C681E"/>
    <w:rsid w:val="004C7DE0"/>
    <w:rsid w:val="004E0CA2"/>
    <w:rsid w:val="004E5E9B"/>
    <w:rsid w:val="004F0EC6"/>
    <w:rsid w:val="004F492F"/>
    <w:rsid w:val="004F4EFA"/>
    <w:rsid w:val="004F72D6"/>
    <w:rsid w:val="005134C0"/>
    <w:rsid w:val="00522603"/>
    <w:rsid w:val="00527560"/>
    <w:rsid w:val="00532530"/>
    <w:rsid w:val="00532763"/>
    <w:rsid w:val="00542F8E"/>
    <w:rsid w:val="00562CCD"/>
    <w:rsid w:val="0056304A"/>
    <w:rsid w:val="0056474C"/>
    <w:rsid w:val="005924C4"/>
    <w:rsid w:val="005C7157"/>
    <w:rsid w:val="005D6806"/>
    <w:rsid w:val="005D6C83"/>
    <w:rsid w:val="005F1C46"/>
    <w:rsid w:val="005F3345"/>
    <w:rsid w:val="005F34A7"/>
    <w:rsid w:val="005F511B"/>
    <w:rsid w:val="00621A75"/>
    <w:rsid w:val="006307D1"/>
    <w:rsid w:val="00642EC9"/>
    <w:rsid w:val="00645590"/>
    <w:rsid w:val="0066041B"/>
    <w:rsid w:val="00664B7C"/>
    <w:rsid w:val="006836AD"/>
    <w:rsid w:val="00686DF8"/>
    <w:rsid w:val="00692C60"/>
    <w:rsid w:val="00695CC2"/>
    <w:rsid w:val="00697EFC"/>
    <w:rsid w:val="006A7BEA"/>
    <w:rsid w:val="006B7BBF"/>
    <w:rsid w:val="006C41EC"/>
    <w:rsid w:val="006C47C0"/>
    <w:rsid w:val="006D2713"/>
    <w:rsid w:val="006D53C8"/>
    <w:rsid w:val="006D57C2"/>
    <w:rsid w:val="006D6872"/>
    <w:rsid w:val="006E7D59"/>
    <w:rsid w:val="006F4FE5"/>
    <w:rsid w:val="007059AE"/>
    <w:rsid w:val="00705DBF"/>
    <w:rsid w:val="00706096"/>
    <w:rsid w:val="00711BA6"/>
    <w:rsid w:val="00713A4B"/>
    <w:rsid w:val="00715001"/>
    <w:rsid w:val="007275F8"/>
    <w:rsid w:val="00733125"/>
    <w:rsid w:val="00745C8E"/>
    <w:rsid w:val="00746479"/>
    <w:rsid w:val="00751994"/>
    <w:rsid w:val="00753581"/>
    <w:rsid w:val="00753855"/>
    <w:rsid w:val="007540EB"/>
    <w:rsid w:val="007561A9"/>
    <w:rsid w:val="00767D56"/>
    <w:rsid w:val="00767EDD"/>
    <w:rsid w:val="00776DC2"/>
    <w:rsid w:val="0078506E"/>
    <w:rsid w:val="0078650E"/>
    <w:rsid w:val="007879F7"/>
    <w:rsid w:val="00795107"/>
    <w:rsid w:val="007A00F7"/>
    <w:rsid w:val="007A3F53"/>
    <w:rsid w:val="007A4D8D"/>
    <w:rsid w:val="007B16E8"/>
    <w:rsid w:val="007B4EC4"/>
    <w:rsid w:val="007B5F52"/>
    <w:rsid w:val="007B7090"/>
    <w:rsid w:val="007D224C"/>
    <w:rsid w:val="007E4C53"/>
    <w:rsid w:val="007F3E28"/>
    <w:rsid w:val="007F4BD0"/>
    <w:rsid w:val="007F7964"/>
    <w:rsid w:val="007F7C73"/>
    <w:rsid w:val="00804536"/>
    <w:rsid w:val="0081620B"/>
    <w:rsid w:val="008301D2"/>
    <w:rsid w:val="00835A29"/>
    <w:rsid w:val="0083714F"/>
    <w:rsid w:val="0084701C"/>
    <w:rsid w:val="0084788A"/>
    <w:rsid w:val="0085460F"/>
    <w:rsid w:val="00854972"/>
    <w:rsid w:val="0085608C"/>
    <w:rsid w:val="008569F1"/>
    <w:rsid w:val="00857813"/>
    <w:rsid w:val="00861795"/>
    <w:rsid w:val="00865BC6"/>
    <w:rsid w:val="00874536"/>
    <w:rsid w:val="00882033"/>
    <w:rsid w:val="008823C7"/>
    <w:rsid w:val="00882424"/>
    <w:rsid w:val="00890FF9"/>
    <w:rsid w:val="00892874"/>
    <w:rsid w:val="008A5CFD"/>
    <w:rsid w:val="008B3844"/>
    <w:rsid w:val="008C0BB5"/>
    <w:rsid w:val="008C4EA3"/>
    <w:rsid w:val="008C6D55"/>
    <w:rsid w:val="008F3892"/>
    <w:rsid w:val="00900CFA"/>
    <w:rsid w:val="009013A1"/>
    <w:rsid w:val="00904126"/>
    <w:rsid w:val="0091782D"/>
    <w:rsid w:val="00917ECB"/>
    <w:rsid w:val="009217FC"/>
    <w:rsid w:val="00967641"/>
    <w:rsid w:val="00971046"/>
    <w:rsid w:val="00974222"/>
    <w:rsid w:val="0097586F"/>
    <w:rsid w:val="00984772"/>
    <w:rsid w:val="009A4ED0"/>
    <w:rsid w:val="009B0FC0"/>
    <w:rsid w:val="009B104D"/>
    <w:rsid w:val="009D012E"/>
    <w:rsid w:val="009D0306"/>
    <w:rsid w:val="009D33FA"/>
    <w:rsid w:val="009D3C8D"/>
    <w:rsid w:val="009D65D7"/>
    <w:rsid w:val="009E6572"/>
    <w:rsid w:val="009F1A90"/>
    <w:rsid w:val="009F32E3"/>
    <w:rsid w:val="00A11761"/>
    <w:rsid w:val="00A24C2B"/>
    <w:rsid w:val="00A30041"/>
    <w:rsid w:val="00A301B7"/>
    <w:rsid w:val="00A43737"/>
    <w:rsid w:val="00A45400"/>
    <w:rsid w:val="00A46E4E"/>
    <w:rsid w:val="00A4737C"/>
    <w:rsid w:val="00A623FF"/>
    <w:rsid w:val="00A90CBA"/>
    <w:rsid w:val="00AA0F10"/>
    <w:rsid w:val="00AB018A"/>
    <w:rsid w:val="00AC0F42"/>
    <w:rsid w:val="00AC105C"/>
    <w:rsid w:val="00AC5675"/>
    <w:rsid w:val="00AD169D"/>
    <w:rsid w:val="00AD730A"/>
    <w:rsid w:val="00AD7318"/>
    <w:rsid w:val="00AD7455"/>
    <w:rsid w:val="00AE002D"/>
    <w:rsid w:val="00AE1F46"/>
    <w:rsid w:val="00B01F1E"/>
    <w:rsid w:val="00B021F4"/>
    <w:rsid w:val="00B0381B"/>
    <w:rsid w:val="00B03ED3"/>
    <w:rsid w:val="00B046DD"/>
    <w:rsid w:val="00B102DA"/>
    <w:rsid w:val="00B152C2"/>
    <w:rsid w:val="00B17456"/>
    <w:rsid w:val="00B21779"/>
    <w:rsid w:val="00B27082"/>
    <w:rsid w:val="00B27ECF"/>
    <w:rsid w:val="00B35CFB"/>
    <w:rsid w:val="00B36994"/>
    <w:rsid w:val="00B418F0"/>
    <w:rsid w:val="00B61DFE"/>
    <w:rsid w:val="00B63B56"/>
    <w:rsid w:val="00B63B9E"/>
    <w:rsid w:val="00B66213"/>
    <w:rsid w:val="00B76ACB"/>
    <w:rsid w:val="00B809FF"/>
    <w:rsid w:val="00B860FD"/>
    <w:rsid w:val="00B86E88"/>
    <w:rsid w:val="00B96338"/>
    <w:rsid w:val="00BA446D"/>
    <w:rsid w:val="00BB4FB3"/>
    <w:rsid w:val="00BB7729"/>
    <w:rsid w:val="00BC30EC"/>
    <w:rsid w:val="00BD064D"/>
    <w:rsid w:val="00BF1D3D"/>
    <w:rsid w:val="00BF278F"/>
    <w:rsid w:val="00BF483B"/>
    <w:rsid w:val="00C032F0"/>
    <w:rsid w:val="00C104BF"/>
    <w:rsid w:val="00C1316E"/>
    <w:rsid w:val="00C17B83"/>
    <w:rsid w:val="00C204F1"/>
    <w:rsid w:val="00C233E9"/>
    <w:rsid w:val="00C236D2"/>
    <w:rsid w:val="00C33BBB"/>
    <w:rsid w:val="00C34A53"/>
    <w:rsid w:val="00C4136B"/>
    <w:rsid w:val="00C42180"/>
    <w:rsid w:val="00C62540"/>
    <w:rsid w:val="00C64030"/>
    <w:rsid w:val="00C67FEC"/>
    <w:rsid w:val="00C7058B"/>
    <w:rsid w:val="00C839EC"/>
    <w:rsid w:val="00C84328"/>
    <w:rsid w:val="00C92E9B"/>
    <w:rsid w:val="00CA3BFC"/>
    <w:rsid w:val="00CC213B"/>
    <w:rsid w:val="00CC667D"/>
    <w:rsid w:val="00CF418C"/>
    <w:rsid w:val="00CF65AE"/>
    <w:rsid w:val="00D005E4"/>
    <w:rsid w:val="00D01455"/>
    <w:rsid w:val="00D01A3E"/>
    <w:rsid w:val="00D1336A"/>
    <w:rsid w:val="00D163AE"/>
    <w:rsid w:val="00D16891"/>
    <w:rsid w:val="00D25CFB"/>
    <w:rsid w:val="00D26483"/>
    <w:rsid w:val="00D32327"/>
    <w:rsid w:val="00D332CE"/>
    <w:rsid w:val="00D42268"/>
    <w:rsid w:val="00D50218"/>
    <w:rsid w:val="00D50D3E"/>
    <w:rsid w:val="00D562DC"/>
    <w:rsid w:val="00D60D5E"/>
    <w:rsid w:val="00D6586C"/>
    <w:rsid w:val="00D74CA7"/>
    <w:rsid w:val="00D75619"/>
    <w:rsid w:val="00D75DC5"/>
    <w:rsid w:val="00D77903"/>
    <w:rsid w:val="00D81FBC"/>
    <w:rsid w:val="00D87D7A"/>
    <w:rsid w:val="00D93D53"/>
    <w:rsid w:val="00D94124"/>
    <w:rsid w:val="00DC14B3"/>
    <w:rsid w:val="00DC79EE"/>
    <w:rsid w:val="00DD1400"/>
    <w:rsid w:val="00DD50E0"/>
    <w:rsid w:val="00DE0A59"/>
    <w:rsid w:val="00DF1967"/>
    <w:rsid w:val="00DF1FF9"/>
    <w:rsid w:val="00DF2FC1"/>
    <w:rsid w:val="00E005EB"/>
    <w:rsid w:val="00E01940"/>
    <w:rsid w:val="00E126BB"/>
    <w:rsid w:val="00E16284"/>
    <w:rsid w:val="00E214B3"/>
    <w:rsid w:val="00E22873"/>
    <w:rsid w:val="00E5749A"/>
    <w:rsid w:val="00E600B3"/>
    <w:rsid w:val="00EA2554"/>
    <w:rsid w:val="00EA4BBC"/>
    <w:rsid w:val="00EB384D"/>
    <w:rsid w:val="00EB4559"/>
    <w:rsid w:val="00EC4585"/>
    <w:rsid w:val="00EC6B51"/>
    <w:rsid w:val="00EF2EFD"/>
    <w:rsid w:val="00EF3C30"/>
    <w:rsid w:val="00F12AD6"/>
    <w:rsid w:val="00F15926"/>
    <w:rsid w:val="00F40360"/>
    <w:rsid w:val="00F40989"/>
    <w:rsid w:val="00F41956"/>
    <w:rsid w:val="00F5309C"/>
    <w:rsid w:val="00F5679E"/>
    <w:rsid w:val="00F616C4"/>
    <w:rsid w:val="00F6445D"/>
    <w:rsid w:val="00F64C1D"/>
    <w:rsid w:val="00F70D20"/>
    <w:rsid w:val="00F71F0C"/>
    <w:rsid w:val="00F76A11"/>
    <w:rsid w:val="00F77033"/>
    <w:rsid w:val="00FA15EE"/>
    <w:rsid w:val="00FA51C6"/>
    <w:rsid w:val="00FC70E2"/>
    <w:rsid w:val="00FF0D03"/>
    <w:rsid w:val="00FF4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5B36"/>
  <w14:defaultImageDpi w14:val="32767"/>
  <w15:chartTrackingRefBased/>
  <w15:docId w15:val="{56603354-8610-AA4F-BC45-B2C9F129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608C"/>
  </w:style>
  <w:style w:type="paragraph" w:styleId="Heading1">
    <w:name w:val="heading 1"/>
    <w:basedOn w:val="Normal"/>
    <w:next w:val="Normal"/>
    <w:link w:val="Heading1Char"/>
    <w:uiPriority w:val="9"/>
    <w:qFormat/>
    <w:rsid w:val="00F61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6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6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6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6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6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6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6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6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6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6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6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6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6C4"/>
    <w:rPr>
      <w:rFonts w:eastAsiaTheme="majorEastAsia" w:cstheme="majorBidi"/>
      <w:color w:val="272727" w:themeColor="text1" w:themeTint="D8"/>
    </w:rPr>
  </w:style>
  <w:style w:type="paragraph" w:styleId="Title">
    <w:name w:val="Title"/>
    <w:basedOn w:val="Normal"/>
    <w:next w:val="Normal"/>
    <w:link w:val="TitleChar"/>
    <w:uiPriority w:val="10"/>
    <w:qFormat/>
    <w:rsid w:val="00F616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6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6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16C4"/>
    <w:rPr>
      <w:i/>
      <w:iCs/>
      <w:color w:val="404040" w:themeColor="text1" w:themeTint="BF"/>
    </w:rPr>
  </w:style>
  <w:style w:type="paragraph" w:styleId="ListParagraph">
    <w:name w:val="List Paragraph"/>
    <w:basedOn w:val="Normal"/>
    <w:uiPriority w:val="34"/>
    <w:qFormat/>
    <w:rsid w:val="00F616C4"/>
    <w:pPr>
      <w:ind w:left="720"/>
      <w:contextualSpacing/>
    </w:pPr>
  </w:style>
  <w:style w:type="character" w:styleId="IntenseEmphasis">
    <w:name w:val="Intense Emphasis"/>
    <w:basedOn w:val="DefaultParagraphFont"/>
    <w:uiPriority w:val="21"/>
    <w:qFormat/>
    <w:rsid w:val="00F616C4"/>
    <w:rPr>
      <w:i/>
      <w:iCs/>
      <w:color w:val="0F4761" w:themeColor="accent1" w:themeShade="BF"/>
    </w:rPr>
  </w:style>
  <w:style w:type="paragraph" w:styleId="IntenseQuote">
    <w:name w:val="Intense Quote"/>
    <w:basedOn w:val="Normal"/>
    <w:next w:val="Normal"/>
    <w:link w:val="IntenseQuoteChar"/>
    <w:uiPriority w:val="30"/>
    <w:qFormat/>
    <w:rsid w:val="00F61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6C4"/>
    <w:rPr>
      <w:i/>
      <w:iCs/>
      <w:color w:val="0F4761" w:themeColor="accent1" w:themeShade="BF"/>
    </w:rPr>
  </w:style>
  <w:style w:type="character" w:styleId="IntenseReference">
    <w:name w:val="Intense Reference"/>
    <w:basedOn w:val="DefaultParagraphFont"/>
    <w:uiPriority w:val="32"/>
    <w:qFormat/>
    <w:rsid w:val="00F616C4"/>
    <w:rPr>
      <w:b/>
      <w:bCs/>
      <w:smallCaps/>
      <w:color w:val="0F4761" w:themeColor="accent1" w:themeShade="BF"/>
      <w:spacing w:val="5"/>
    </w:rPr>
  </w:style>
  <w:style w:type="character" w:styleId="Hyperlink">
    <w:name w:val="Hyperlink"/>
    <w:basedOn w:val="DefaultParagraphFont"/>
    <w:uiPriority w:val="99"/>
    <w:unhideWhenUsed/>
    <w:rsid w:val="00C34A53"/>
    <w:rPr>
      <w:color w:val="0000FF"/>
      <w:u w:val="single"/>
    </w:rPr>
  </w:style>
  <w:style w:type="character" w:styleId="UnresolvedMention">
    <w:name w:val="Unresolved Mention"/>
    <w:basedOn w:val="DefaultParagraphFont"/>
    <w:uiPriority w:val="99"/>
    <w:rsid w:val="00C34A53"/>
    <w:rPr>
      <w:color w:val="605E5C"/>
      <w:shd w:val="clear" w:color="auto" w:fill="E1DFDD"/>
    </w:rPr>
  </w:style>
  <w:style w:type="paragraph" w:styleId="NormalWeb">
    <w:name w:val="Normal (Web)"/>
    <w:basedOn w:val="Normal"/>
    <w:uiPriority w:val="99"/>
    <w:semiHidden/>
    <w:unhideWhenUsed/>
    <w:rsid w:val="00C34A53"/>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noteText">
    <w:name w:val="footnote text"/>
    <w:basedOn w:val="Normal"/>
    <w:link w:val="FootnoteTextChar"/>
    <w:uiPriority w:val="99"/>
    <w:semiHidden/>
    <w:unhideWhenUsed/>
    <w:rsid w:val="000A7032"/>
    <w:rPr>
      <w:sz w:val="20"/>
      <w:szCs w:val="20"/>
    </w:rPr>
  </w:style>
  <w:style w:type="character" w:customStyle="1" w:styleId="FootnoteTextChar">
    <w:name w:val="Footnote Text Char"/>
    <w:basedOn w:val="DefaultParagraphFont"/>
    <w:link w:val="FootnoteText"/>
    <w:uiPriority w:val="99"/>
    <w:semiHidden/>
    <w:rsid w:val="000A7032"/>
    <w:rPr>
      <w:sz w:val="20"/>
      <w:szCs w:val="20"/>
    </w:rPr>
  </w:style>
  <w:style w:type="character" w:styleId="FootnoteReference">
    <w:name w:val="footnote reference"/>
    <w:basedOn w:val="DefaultParagraphFont"/>
    <w:uiPriority w:val="99"/>
    <w:semiHidden/>
    <w:unhideWhenUsed/>
    <w:rsid w:val="000A7032"/>
    <w:rPr>
      <w:vertAlign w:val="superscript"/>
    </w:rPr>
  </w:style>
  <w:style w:type="paragraph" w:customStyle="1" w:styleId="Default">
    <w:name w:val="Default"/>
    <w:rsid w:val="00B63B9E"/>
    <w:pPr>
      <w:autoSpaceDE w:val="0"/>
      <w:autoSpaceDN w:val="0"/>
      <w:adjustRightInd w:val="0"/>
    </w:pPr>
    <w:rPr>
      <w:rFonts w:ascii="Arial" w:hAnsi="Arial" w:cs="Arial"/>
      <w:color w:val="000000"/>
      <w:kern w:val="0"/>
    </w:rPr>
  </w:style>
  <w:style w:type="character" w:customStyle="1" w:styleId="apple-converted-space">
    <w:name w:val="apple-converted-space"/>
    <w:basedOn w:val="DefaultParagraphFont"/>
    <w:rsid w:val="007F7964"/>
  </w:style>
  <w:style w:type="character" w:styleId="CommentReference">
    <w:name w:val="annotation reference"/>
    <w:basedOn w:val="DefaultParagraphFont"/>
    <w:uiPriority w:val="99"/>
    <w:semiHidden/>
    <w:unhideWhenUsed/>
    <w:rsid w:val="005C7157"/>
    <w:rPr>
      <w:sz w:val="16"/>
      <w:szCs w:val="16"/>
    </w:rPr>
  </w:style>
  <w:style w:type="paragraph" w:styleId="CommentText">
    <w:name w:val="annotation text"/>
    <w:basedOn w:val="Normal"/>
    <w:link w:val="CommentTextChar"/>
    <w:uiPriority w:val="99"/>
    <w:semiHidden/>
    <w:unhideWhenUsed/>
    <w:rsid w:val="005C7157"/>
    <w:rPr>
      <w:sz w:val="20"/>
      <w:szCs w:val="20"/>
    </w:rPr>
  </w:style>
  <w:style w:type="character" w:customStyle="1" w:styleId="CommentTextChar">
    <w:name w:val="Comment Text Char"/>
    <w:basedOn w:val="DefaultParagraphFont"/>
    <w:link w:val="CommentText"/>
    <w:uiPriority w:val="99"/>
    <w:semiHidden/>
    <w:rsid w:val="005C7157"/>
    <w:rPr>
      <w:sz w:val="20"/>
      <w:szCs w:val="20"/>
    </w:rPr>
  </w:style>
  <w:style w:type="paragraph" w:styleId="CommentSubject">
    <w:name w:val="annotation subject"/>
    <w:basedOn w:val="CommentText"/>
    <w:next w:val="CommentText"/>
    <w:link w:val="CommentSubjectChar"/>
    <w:uiPriority w:val="99"/>
    <w:semiHidden/>
    <w:unhideWhenUsed/>
    <w:rsid w:val="005C7157"/>
    <w:rPr>
      <w:b/>
      <w:bCs/>
    </w:rPr>
  </w:style>
  <w:style w:type="character" w:customStyle="1" w:styleId="CommentSubjectChar">
    <w:name w:val="Comment Subject Char"/>
    <w:basedOn w:val="CommentTextChar"/>
    <w:link w:val="CommentSubject"/>
    <w:uiPriority w:val="99"/>
    <w:semiHidden/>
    <w:rsid w:val="005C7157"/>
    <w:rPr>
      <w:b/>
      <w:bCs/>
      <w:sz w:val="20"/>
      <w:szCs w:val="20"/>
    </w:rPr>
  </w:style>
  <w:style w:type="paragraph" w:styleId="Header">
    <w:name w:val="header"/>
    <w:basedOn w:val="Normal"/>
    <w:link w:val="HeaderChar"/>
    <w:uiPriority w:val="99"/>
    <w:unhideWhenUsed/>
    <w:rsid w:val="004C681E"/>
    <w:pPr>
      <w:tabs>
        <w:tab w:val="center" w:pos="4680"/>
        <w:tab w:val="right" w:pos="9360"/>
      </w:tabs>
    </w:pPr>
  </w:style>
  <w:style w:type="character" w:customStyle="1" w:styleId="HeaderChar">
    <w:name w:val="Header Char"/>
    <w:basedOn w:val="DefaultParagraphFont"/>
    <w:link w:val="Header"/>
    <w:uiPriority w:val="99"/>
    <w:rsid w:val="004C681E"/>
  </w:style>
  <w:style w:type="paragraph" w:styleId="Footer">
    <w:name w:val="footer"/>
    <w:basedOn w:val="Normal"/>
    <w:link w:val="FooterChar"/>
    <w:uiPriority w:val="99"/>
    <w:unhideWhenUsed/>
    <w:rsid w:val="004C681E"/>
    <w:pPr>
      <w:tabs>
        <w:tab w:val="center" w:pos="4680"/>
        <w:tab w:val="right" w:pos="9360"/>
      </w:tabs>
    </w:pPr>
  </w:style>
  <w:style w:type="character" w:customStyle="1" w:styleId="FooterChar">
    <w:name w:val="Footer Char"/>
    <w:basedOn w:val="DefaultParagraphFont"/>
    <w:link w:val="Footer"/>
    <w:uiPriority w:val="99"/>
    <w:rsid w:val="004C6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944099">
      <w:bodyDiv w:val="1"/>
      <w:marLeft w:val="0"/>
      <w:marRight w:val="0"/>
      <w:marTop w:val="0"/>
      <w:marBottom w:val="0"/>
      <w:divBdr>
        <w:top w:val="none" w:sz="0" w:space="0" w:color="auto"/>
        <w:left w:val="none" w:sz="0" w:space="0" w:color="auto"/>
        <w:bottom w:val="none" w:sz="0" w:space="0" w:color="auto"/>
        <w:right w:val="none" w:sz="0" w:space="0" w:color="auto"/>
      </w:divBdr>
    </w:div>
    <w:div w:id="181806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la.callander@abdn.ac.uk" TargetMode="External"/><Relationship Id="rId3" Type="http://schemas.openxmlformats.org/officeDocument/2006/relationships/settings" Target="settings.xml"/><Relationship Id="rId7" Type="http://schemas.openxmlformats.org/officeDocument/2006/relationships/hyperlink" Target="mailto:ilona.cairns@abd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4545</Words>
  <Characters>25912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Callander, Isla</dc:creator>
  <cp:keywords/>
  <dc:description/>
  <cp:lastModifiedBy>Cairns, Ilona</cp:lastModifiedBy>
  <cp:revision>2</cp:revision>
  <dcterms:created xsi:type="dcterms:W3CDTF">2025-02-05T12:44:00Z</dcterms:created>
  <dcterms:modified xsi:type="dcterms:W3CDTF">2025-02-05T12:44:00Z</dcterms:modified>
</cp:coreProperties>
</file>