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FF4A" w14:textId="1809E3B9" w:rsidR="00286E0F" w:rsidRPr="00286E0F" w:rsidRDefault="00286E0F" w:rsidP="00286E0F">
      <w:pPr>
        <w:jc w:val="center"/>
        <w:rPr>
          <w:rFonts w:ascii="Garamond" w:hAnsi="Garamond"/>
          <w:b/>
          <w:bCs/>
          <w:sz w:val="24"/>
          <w:szCs w:val="24"/>
        </w:rPr>
      </w:pPr>
      <w:r w:rsidRPr="00286E0F">
        <w:rPr>
          <w:rFonts w:ascii="Garamond" w:hAnsi="Garamond"/>
          <w:b/>
          <w:bCs/>
          <w:sz w:val="24"/>
          <w:szCs w:val="24"/>
        </w:rPr>
        <w:t>Judicial Factors (Scotland) Bill</w:t>
      </w:r>
    </w:p>
    <w:p w14:paraId="38ECD7DE" w14:textId="0B55CB2B" w:rsidR="00286E0F" w:rsidRPr="00286E0F" w:rsidRDefault="00286E0F" w:rsidP="00286E0F">
      <w:pPr>
        <w:jc w:val="center"/>
        <w:rPr>
          <w:rFonts w:ascii="Garamond" w:hAnsi="Garamond"/>
          <w:b/>
          <w:bCs/>
          <w:sz w:val="24"/>
          <w:szCs w:val="24"/>
        </w:rPr>
      </w:pPr>
      <w:r w:rsidRPr="00286E0F">
        <w:rPr>
          <w:rFonts w:ascii="Garamond" w:hAnsi="Garamond"/>
          <w:b/>
          <w:bCs/>
          <w:sz w:val="24"/>
          <w:szCs w:val="24"/>
        </w:rPr>
        <w:t>Scottish Parliament – Delegated Powers and Law Reform Committee</w:t>
      </w:r>
    </w:p>
    <w:p w14:paraId="0388D31E" w14:textId="08618889" w:rsidR="00286E0F" w:rsidRPr="00286E0F" w:rsidRDefault="00286E0F" w:rsidP="00286E0F">
      <w:pPr>
        <w:jc w:val="center"/>
        <w:rPr>
          <w:rFonts w:ascii="Garamond" w:hAnsi="Garamond"/>
          <w:b/>
          <w:bCs/>
          <w:sz w:val="24"/>
          <w:szCs w:val="24"/>
        </w:rPr>
      </w:pPr>
      <w:r w:rsidRPr="00286E0F">
        <w:rPr>
          <w:rFonts w:ascii="Garamond" w:hAnsi="Garamond"/>
          <w:b/>
          <w:bCs/>
          <w:sz w:val="24"/>
          <w:szCs w:val="24"/>
        </w:rPr>
        <w:t>Consultation</w:t>
      </w:r>
      <w:r>
        <w:rPr>
          <w:rFonts w:ascii="Garamond" w:hAnsi="Garamond"/>
          <w:b/>
          <w:bCs/>
          <w:sz w:val="24"/>
          <w:szCs w:val="24"/>
        </w:rPr>
        <w:t xml:space="preserve"> Response</w:t>
      </w:r>
    </w:p>
    <w:p w14:paraId="55FD5ED0" w14:textId="77777777" w:rsidR="00286E0F" w:rsidRPr="00286E0F" w:rsidRDefault="00286E0F" w:rsidP="00286E0F">
      <w:pPr>
        <w:jc w:val="both"/>
        <w:rPr>
          <w:rFonts w:ascii="Garamond" w:hAnsi="Garamond"/>
          <w:sz w:val="24"/>
          <w:szCs w:val="24"/>
        </w:rPr>
      </w:pPr>
    </w:p>
    <w:p w14:paraId="43C13197" w14:textId="662AB0C5" w:rsidR="007E4073" w:rsidRPr="00286E0F" w:rsidRDefault="007E4073" w:rsidP="00286E0F">
      <w:pPr>
        <w:jc w:val="both"/>
        <w:rPr>
          <w:rFonts w:ascii="Garamond" w:hAnsi="Garamond"/>
          <w:sz w:val="24"/>
          <w:szCs w:val="24"/>
        </w:rPr>
      </w:pPr>
      <w:r w:rsidRPr="00286E0F">
        <w:rPr>
          <w:rFonts w:ascii="Garamond" w:hAnsi="Garamond"/>
          <w:sz w:val="24"/>
          <w:szCs w:val="24"/>
        </w:rPr>
        <w:t xml:space="preserve">This response is provided by Dr Alisdair </w:t>
      </w:r>
      <w:proofErr w:type="spellStart"/>
      <w:r w:rsidRPr="00286E0F">
        <w:rPr>
          <w:rFonts w:ascii="Garamond" w:hAnsi="Garamond"/>
          <w:sz w:val="24"/>
          <w:szCs w:val="24"/>
        </w:rPr>
        <w:t>MacPherson</w:t>
      </w:r>
      <w:r w:rsidR="007961CD" w:rsidRPr="00286E0F">
        <w:rPr>
          <w:rFonts w:ascii="Garamond" w:hAnsi="Garamond"/>
          <w:sz w:val="24"/>
          <w:szCs w:val="24"/>
        </w:rPr>
        <w:t>,</w:t>
      </w:r>
      <w:proofErr w:type="spellEnd"/>
      <w:r w:rsidR="007961CD" w:rsidRPr="00286E0F">
        <w:rPr>
          <w:rFonts w:ascii="Garamond" w:hAnsi="Garamond"/>
          <w:sz w:val="24"/>
          <w:szCs w:val="24"/>
        </w:rPr>
        <w:t xml:space="preserve"> </w:t>
      </w:r>
      <w:r w:rsidRPr="00286E0F">
        <w:rPr>
          <w:rFonts w:ascii="Garamond" w:hAnsi="Garamond"/>
          <w:sz w:val="24"/>
          <w:szCs w:val="24"/>
        </w:rPr>
        <w:t xml:space="preserve">Prof Donna McKenzie </w:t>
      </w:r>
      <w:proofErr w:type="gramStart"/>
      <w:r w:rsidRPr="00286E0F">
        <w:rPr>
          <w:rFonts w:ascii="Garamond" w:hAnsi="Garamond"/>
          <w:sz w:val="24"/>
          <w:szCs w:val="24"/>
        </w:rPr>
        <w:t>Skene</w:t>
      </w:r>
      <w:proofErr w:type="gramEnd"/>
      <w:r w:rsidR="007961CD" w:rsidRPr="00286E0F">
        <w:rPr>
          <w:rFonts w:ascii="Garamond" w:hAnsi="Garamond"/>
          <w:sz w:val="24"/>
          <w:szCs w:val="24"/>
        </w:rPr>
        <w:t xml:space="preserve"> and Dr Euan West</w:t>
      </w:r>
      <w:r w:rsidRPr="00286E0F">
        <w:rPr>
          <w:rFonts w:ascii="Garamond" w:hAnsi="Garamond"/>
          <w:sz w:val="24"/>
          <w:szCs w:val="24"/>
        </w:rPr>
        <w:t xml:space="preserve">. </w:t>
      </w:r>
      <w:r w:rsidR="007961CD" w:rsidRPr="00286E0F">
        <w:rPr>
          <w:rFonts w:ascii="Garamond" w:hAnsi="Garamond"/>
          <w:sz w:val="24"/>
          <w:szCs w:val="24"/>
        </w:rPr>
        <w:t>We</w:t>
      </w:r>
      <w:r w:rsidRPr="00286E0F">
        <w:rPr>
          <w:rFonts w:ascii="Garamond" w:hAnsi="Garamond"/>
          <w:sz w:val="24"/>
          <w:szCs w:val="24"/>
        </w:rPr>
        <w:t xml:space="preserve"> are </w:t>
      </w:r>
      <w:r w:rsidR="007961CD" w:rsidRPr="00286E0F">
        <w:rPr>
          <w:rFonts w:ascii="Garamond" w:hAnsi="Garamond"/>
          <w:sz w:val="24"/>
          <w:szCs w:val="24"/>
        </w:rPr>
        <w:t xml:space="preserve">all </w:t>
      </w:r>
      <w:r w:rsidRPr="00286E0F">
        <w:rPr>
          <w:rFonts w:ascii="Garamond" w:hAnsi="Garamond"/>
          <w:sz w:val="24"/>
          <w:szCs w:val="24"/>
        </w:rPr>
        <w:t xml:space="preserve">members of the Centre for Scots Law at the University of Aberdeen. </w:t>
      </w:r>
    </w:p>
    <w:p w14:paraId="1B7C8670" w14:textId="77777777" w:rsidR="007E4073" w:rsidRPr="005913B1" w:rsidRDefault="007E4073" w:rsidP="00286E0F">
      <w:pPr>
        <w:jc w:val="both"/>
        <w:rPr>
          <w:rFonts w:ascii="Garamond" w:hAnsi="Garamond"/>
          <w:b/>
          <w:bCs/>
          <w:sz w:val="24"/>
          <w:szCs w:val="24"/>
          <w:u w:val="single"/>
        </w:rPr>
      </w:pPr>
    </w:p>
    <w:p w14:paraId="5D2EAC7F" w14:textId="659836D5" w:rsidR="008B302A" w:rsidRPr="005913B1" w:rsidRDefault="008B302A" w:rsidP="00286E0F">
      <w:pPr>
        <w:jc w:val="both"/>
        <w:rPr>
          <w:rFonts w:ascii="Garamond" w:hAnsi="Garamond"/>
          <w:b/>
          <w:bCs/>
          <w:sz w:val="24"/>
          <w:szCs w:val="24"/>
          <w:u w:val="single"/>
        </w:rPr>
      </w:pPr>
      <w:r w:rsidRPr="005913B1">
        <w:rPr>
          <w:rFonts w:ascii="Garamond" w:hAnsi="Garamond"/>
          <w:b/>
          <w:bCs/>
          <w:sz w:val="24"/>
          <w:szCs w:val="24"/>
          <w:u w:val="single"/>
        </w:rPr>
        <w:t>Question Page 1</w:t>
      </w:r>
    </w:p>
    <w:p w14:paraId="629C714E" w14:textId="77777777" w:rsidR="008B302A" w:rsidRPr="005913B1" w:rsidRDefault="008B302A" w:rsidP="00286E0F">
      <w:pPr>
        <w:jc w:val="both"/>
        <w:rPr>
          <w:rFonts w:ascii="Garamond" w:hAnsi="Garamond"/>
          <w:sz w:val="24"/>
          <w:szCs w:val="24"/>
          <w:u w:val="single"/>
        </w:rPr>
      </w:pPr>
      <w:r w:rsidRPr="005913B1">
        <w:rPr>
          <w:rFonts w:ascii="Garamond" w:hAnsi="Garamond"/>
          <w:sz w:val="24"/>
          <w:szCs w:val="24"/>
          <w:u w:val="single"/>
        </w:rPr>
        <w:t xml:space="preserve">1. What is your view on the proposal to update the law in relation to judicial factors? Do you agree with the approach taken? If you would like to, please give reasons for your views. </w:t>
      </w:r>
    </w:p>
    <w:p w14:paraId="589682BF" w14:textId="56FDF589" w:rsidR="008B302A" w:rsidRPr="005913B1" w:rsidRDefault="008B302A" w:rsidP="00286E0F">
      <w:pPr>
        <w:jc w:val="both"/>
        <w:rPr>
          <w:rFonts w:ascii="Garamond" w:hAnsi="Garamond"/>
          <w:b/>
          <w:bCs/>
          <w:sz w:val="24"/>
          <w:szCs w:val="24"/>
        </w:rPr>
      </w:pPr>
      <w:r w:rsidRPr="005913B1">
        <w:rPr>
          <w:rFonts w:ascii="Garamond" w:hAnsi="Garamond"/>
          <w:b/>
          <w:bCs/>
          <w:sz w:val="24"/>
          <w:szCs w:val="24"/>
        </w:rPr>
        <w:t xml:space="preserve">Information: </w:t>
      </w:r>
    </w:p>
    <w:p w14:paraId="26B3B021" w14:textId="390038F9" w:rsidR="008B302A" w:rsidRPr="00286E0F" w:rsidRDefault="008B302A" w:rsidP="00286E0F">
      <w:pPr>
        <w:jc w:val="both"/>
        <w:rPr>
          <w:rFonts w:ascii="Garamond" w:hAnsi="Garamond"/>
          <w:i/>
          <w:iCs/>
          <w:sz w:val="24"/>
          <w:szCs w:val="24"/>
        </w:rPr>
      </w:pPr>
      <w:r w:rsidRPr="00286E0F">
        <w:rPr>
          <w:rFonts w:ascii="Garamond" w:hAnsi="Garamond"/>
          <w:i/>
          <w:iCs/>
          <w:sz w:val="24"/>
          <w:szCs w:val="24"/>
        </w:rPr>
        <w:t>When the Scottish Law Commission consulted on possible reforms in relation to judicial factors, it considered two main policy approaches (with option 1 now appearing in the Bill):</w:t>
      </w:r>
    </w:p>
    <w:p w14:paraId="56789FF4"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Under option 1, the existing system of judicial factors would be retained but improvements made to it. Under the existing system, also proposed for the Bill, a particular individual is appointed by the court to be a judicial factor in a specific situation. Under current practice, such a person is often a lawyer or accountant.</w:t>
      </w:r>
    </w:p>
    <w:p w14:paraId="2437138A" w14:textId="6FF554D2" w:rsidR="00275AF1"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Under option 2, a public official, most likely an existing one who gets additional functions, would undertake the role of judicial factor in most situations.</w:t>
      </w:r>
    </w:p>
    <w:p w14:paraId="12741597" w14:textId="77777777" w:rsidR="00275AF1" w:rsidRDefault="00275AF1" w:rsidP="00286E0F">
      <w:pPr>
        <w:jc w:val="both"/>
        <w:rPr>
          <w:rFonts w:ascii="Garamond" w:hAnsi="Garamond"/>
          <w:sz w:val="24"/>
          <w:szCs w:val="24"/>
        </w:rPr>
      </w:pPr>
    </w:p>
    <w:p w14:paraId="6625AB00" w14:textId="43579821" w:rsidR="008B302A" w:rsidRDefault="007E4073" w:rsidP="00286E0F">
      <w:pPr>
        <w:jc w:val="both"/>
        <w:rPr>
          <w:rFonts w:ascii="Garamond" w:hAnsi="Garamond"/>
          <w:sz w:val="24"/>
          <w:szCs w:val="24"/>
        </w:rPr>
      </w:pPr>
      <w:r w:rsidRPr="005913B1">
        <w:rPr>
          <w:rFonts w:ascii="Garamond" w:hAnsi="Garamond"/>
          <w:sz w:val="24"/>
          <w:szCs w:val="24"/>
        </w:rPr>
        <w:t>We agree with the approach taken to update and reform the law relating to judicial factors, subject to the points noted below. Given the current state of the law and the reliance upon a variety of legislation, much of which is rather dated, it is appropriate to modernise this area of law.</w:t>
      </w:r>
    </w:p>
    <w:p w14:paraId="4C303047" w14:textId="74CD591D" w:rsidR="00913632" w:rsidRDefault="00275AF1" w:rsidP="00286E0F">
      <w:pPr>
        <w:jc w:val="both"/>
        <w:rPr>
          <w:rFonts w:ascii="Garamond" w:hAnsi="Garamond"/>
          <w:sz w:val="24"/>
          <w:szCs w:val="24"/>
        </w:rPr>
      </w:pPr>
      <w:r>
        <w:rPr>
          <w:rFonts w:ascii="Garamond" w:hAnsi="Garamond"/>
          <w:sz w:val="24"/>
          <w:szCs w:val="24"/>
        </w:rPr>
        <w:t>Judicial factors provide an important function in difficult circumstances. It is true that</w:t>
      </w:r>
      <w:r w:rsidR="00913632">
        <w:rPr>
          <w:rFonts w:ascii="Garamond" w:hAnsi="Garamond"/>
          <w:sz w:val="24"/>
          <w:szCs w:val="24"/>
        </w:rPr>
        <w:t xml:space="preserve"> </w:t>
      </w:r>
      <w:r>
        <w:rPr>
          <w:rFonts w:ascii="Garamond" w:hAnsi="Garamond"/>
          <w:sz w:val="24"/>
          <w:szCs w:val="24"/>
        </w:rPr>
        <w:t xml:space="preserve">judicial factories are not particularly common, but there are new cases each year of various types and a reasonable number of live cases. Relevant data in this regard has been obtained from the Office of the Accountant of Court and is provided in the tables below. </w:t>
      </w:r>
    </w:p>
    <w:p w14:paraId="39280545" w14:textId="77777777" w:rsidR="00275AF1" w:rsidRDefault="00275AF1" w:rsidP="00286E0F">
      <w:pPr>
        <w:jc w:val="both"/>
        <w:rPr>
          <w:rFonts w:ascii="Garamond" w:hAnsi="Garamond"/>
          <w:sz w:val="24"/>
          <w:szCs w:val="24"/>
        </w:rPr>
      </w:pPr>
    </w:p>
    <w:p w14:paraId="0F259A74" w14:textId="5EEC2D3F" w:rsidR="00286E0F" w:rsidRPr="00275AF1" w:rsidRDefault="00275AF1" w:rsidP="00286E0F">
      <w:pPr>
        <w:jc w:val="both"/>
        <w:rPr>
          <w:rFonts w:ascii="Garamond" w:hAnsi="Garamond"/>
          <w:b/>
          <w:bCs/>
          <w:sz w:val="24"/>
          <w:szCs w:val="24"/>
        </w:rPr>
      </w:pPr>
      <w:bookmarkStart w:id="0" w:name="_Hlk161303005"/>
      <w:r>
        <w:rPr>
          <w:rFonts w:ascii="Garamond" w:hAnsi="Garamond"/>
          <w:b/>
          <w:bCs/>
          <w:sz w:val="24"/>
          <w:szCs w:val="24"/>
        </w:rPr>
        <w:t>Table 1: New Cases Per Year</w:t>
      </w:r>
    </w:p>
    <w:tbl>
      <w:tblPr>
        <w:tblStyle w:val="TableGrid"/>
        <w:tblW w:w="9081" w:type="dxa"/>
        <w:tblLook w:val="04A0" w:firstRow="1" w:lastRow="0" w:firstColumn="1" w:lastColumn="0" w:noHBand="0" w:noVBand="1"/>
      </w:tblPr>
      <w:tblGrid>
        <w:gridCol w:w="2999"/>
        <w:gridCol w:w="814"/>
        <w:gridCol w:w="878"/>
        <w:gridCol w:w="878"/>
        <w:gridCol w:w="878"/>
        <w:gridCol w:w="878"/>
        <w:gridCol w:w="878"/>
        <w:gridCol w:w="878"/>
      </w:tblGrid>
      <w:tr w:rsidR="00913632" w:rsidRPr="00286E0F" w14:paraId="757FCD8F" w14:textId="25B937E7" w:rsidTr="00913632">
        <w:trPr>
          <w:trHeight w:val="704"/>
        </w:trPr>
        <w:tc>
          <w:tcPr>
            <w:tcW w:w="2999" w:type="dxa"/>
          </w:tcPr>
          <w:bookmarkEnd w:id="0"/>
          <w:p w14:paraId="290E751E" w14:textId="77777777" w:rsidR="00913632" w:rsidRDefault="00913632" w:rsidP="00913632">
            <w:pPr>
              <w:jc w:val="both"/>
              <w:rPr>
                <w:rFonts w:ascii="Garamond" w:hAnsi="Garamond"/>
                <w:b/>
                <w:bCs/>
                <w:sz w:val="24"/>
                <w:szCs w:val="24"/>
              </w:rPr>
            </w:pPr>
            <w:r w:rsidRPr="00913632">
              <w:rPr>
                <w:rFonts w:ascii="Garamond" w:hAnsi="Garamond"/>
                <w:b/>
                <w:bCs/>
                <w:sz w:val="24"/>
                <w:szCs w:val="24"/>
              </w:rPr>
              <w:t xml:space="preserve">Case </w:t>
            </w:r>
            <w:r>
              <w:rPr>
                <w:rFonts w:ascii="Garamond" w:hAnsi="Garamond"/>
                <w:b/>
                <w:bCs/>
                <w:sz w:val="24"/>
                <w:szCs w:val="24"/>
              </w:rPr>
              <w:t>T</w:t>
            </w:r>
            <w:r w:rsidRPr="00913632">
              <w:rPr>
                <w:rFonts w:ascii="Garamond" w:hAnsi="Garamond"/>
                <w:b/>
                <w:bCs/>
                <w:sz w:val="24"/>
                <w:szCs w:val="24"/>
              </w:rPr>
              <w:t>ype</w:t>
            </w:r>
          </w:p>
          <w:p w14:paraId="4DA7ACA9" w14:textId="24EEBEC0" w:rsidR="00913632" w:rsidRPr="00286E0F" w:rsidRDefault="00913632" w:rsidP="00913632">
            <w:pPr>
              <w:jc w:val="both"/>
              <w:rPr>
                <w:rFonts w:ascii="Garamond" w:hAnsi="Garamond"/>
                <w:sz w:val="24"/>
                <w:szCs w:val="24"/>
              </w:rPr>
            </w:pPr>
          </w:p>
        </w:tc>
        <w:tc>
          <w:tcPr>
            <w:tcW w:w="814" w:type="dxa"/>
          </w:tcPr>
          <w:p w14:paraId="5D8B1ACB" w14:textId="381B94A4" w:rsidR="00913632" w:rsidRPr="00913632" w:rsidRDefault="00913632" w:rsidP="00913632">
            <w:pPr>
              <w:jc w:val="both"/>
              <w:rPr>
                <w:rFonts w:ascii="Garamond" w:hAnsi="Garamond"/>
                <w:b/>
                <w:bCs/>
                <w:sz w:val="24"/>
                <w:szCs w:val="24"/>
              </w:rPr>
            </w:pPr>
            <w:r w:rsidRPr="00913632">
              <w:rPr>
                <w:rFonts w:ascii="Garamond" w:hAnsi="Garamond"/>
                <w:b/>
                <w:bCs/>
                <w:sz w:val="24"/>
                <w:szCs w:val="24"/>
              </w:rPr>
              <w:t>2017</w:t>
            </w:r>
          </w:p>
        </w:tc>
        <w:tc>
          <w:tcPr>
            <w:tcW w:w="878" w:type="dxa"/>
          </w:tcPr>
          <w:p w14:paraId="3C8FB770" w14:textId="5AE8B1E3" w:rsidR="00913632" w:rsidRPr="00913632" w:rsidRDefault="00913632" w:rsidP="00913632">
            <w:pPr>
              <w:jc w:val="both"/>
              <w:rPr>
                <w:rFonts w:ascii="Garamond" w:hAnsi="Garamond"/>
                <w:b/>
                <w:bCs/>
                <w:sz w:val="24"/>
                <w:szCs w:val="24"/>
              </w:rPr>
            </w:pPr>
            <w:r w:rsidRPr="00913632">
              <w:rPr>
                <w:rFonts w:ascii="Garamond" w:hAnsi="Garamond"/>
                <w:b/>
                <w:bCs/>
                <w:sz w:val="24"/>
                <w:szCs w:val="24"/>
              </w:rPr>
              <w:t>2018</w:t>
            </w:r>
          </w:p>
        </w:tc>
        <w:tc>
          <w:tcPr>
            <w:tcW w:w="878" w:type="dxa"/>
          </w:tcPr>
          <w:p w14:paraId="707D076C" w14:textId="2DCBBA78" w:rsidR="00913632" w:rsidRPr="00913632" w:rsidRDefault="00913632" w:rsidP="00913632">
            <w:pPr>
              <w:jc w:val="both"/>
              <w:rPr>
                <w:rFonts w:ascii="Garamond" w:hAnsi="Garamond"/>
                <w:b/>
                <w:bCs/>
                <w:sz w:val="24"/>
                <w:szCs w:val="24"/>
              </w:rPr>
            </w:pPr>
            <w:r w:rsidRPr="00913632">
              <w:rPr>
                <w:rFonts w:ascii="Garamond" w:hAnsi="Garamond"/>
                <w:b/>
                <w:bCs/>
                <w:sz w:val="24"/>
                <w:szCs w:val="24"/>
              </w:rPr>
              <w:t>2019</w:t>
            </w:r>
          </w:p>
        </w:tc>
        <w:tc>
          <w:tcPr>
            <w:tcW w:w="878" w:type="dxa"/>
          </w:tcPr>
          <w:p w14:paraId="07929BDF" w14:textId="2C13608D" w:rsidR="00913632" w:rsidRPr="00913632" w:rsidRDefault="00913632" w:rsidP="00913632">
            <w:pPr>
              <w:jc w:val="both"/>
              <w:rPr>
                <w:rFonts w:ascii="Garamond" w:hAnsi="Garamond"/>
                <w:b/>
                <w:bCs/>
                <w:sz w:val="24"/>
                <w:szCs w:val="24"/>
              </w:rPr>
            </w:pPr>
            <w:r w:rsidRPr="00913632">
              <w:rPr>
                <w:rFonts w:ascii="Garamond" w:hAnsi="Garamond"/>
                <w:b/>
                <w:bCs/>
                <w:sz w:val="24"/>
                <w:szCs w:val="24"/>
              </w:rPr>
              <w:t>2020</w:t>
            </w:r>
          </w:p>
        </w:tc>
        <w:tc>
          <w:tcPr>
            <w:tcW w:w="878" w:type="dxa"/>
          </w:tcPr>
          <w:p w14:paraId="1E726134" w14:textId="069DF615" w:rsidR="00913632" w:rsidRPr="00913632" w:rsidRDefault="00913632" w:rsidP="00913632">
            <w:pPr>
              <w:jc w:val="both"/>
              <w:rPr>
                <w:rFonts w:ascii="Garamond" w:hAnsi="Garamond"/>
                <w:b/>
                <w:bCs/>
                <w:sz w:val="24"/>
                <w:szCs w:val="24"/>
              </w:rPr>
            </w:pPr>
            <w:r w:rsidRPr="00913632">
              <w:rPr>
                <w:rFonts w:ascii="Garamond" w:hAnsi="Garamond"/>
                <w:b/>
                <w:bCs/>
                <w:sz w:val="24"/>
                <w:szCs w:val="24"/>
              </w:rPr>
              <w:t>2021</w:t>
            </w:r>
          </w:p>
        </w:tc>
        <w:tc>
          <w:tcPr>
            <w:tcW w:w="878" w:type="dxa"/>
          </w:tcPr>
          <w:p w14:paraId="2507BB4B" w14:textId="21EF780A" w:rsidR="00913632" w:rsidRPr="00913632" w:rsidRDefault="00913632" w:rsidP="00913632">
            <w:pPr>
              <w:jc w:val="both"/>
              <w:rPr>
                <w:rFonts w:ascii="Garamond" w:hAnsi="Garamond"/>
                <w:b/>
                <w:bCs/>
                <w:sz w:val="24"/>
                <w:szCs w:val="24"/>
              </w:rPr>
            </w:pPr>
            <w:r w:rsidRPr="00913632">
              <w:rPr>
                <w:rFonts w:ascii="Garamond" w:hAnsi="Garamond"/>
                <w:b/>
                <w:bCs/>
                <w:sz w:val="24"/>
                <w:szCs w:val="24"/>
              </w:rPr>
              <w:t>2022</w:t>
            </w:r>
          </w:p>
        </w:tc>
        <w:tc>
          <w:tcPr>
            <w:tcW w:w="878" w:type="dxa"/>
          </w:tcPr>
          <w:p w14:paraId="34A8F6F3" w14:textId="0493B566" w:rsidR="00913632" w:rsidRPr="00913632" w:rsidRDefault="00913632" w:rsidP="00913632">
            <w:pPr>
              <w:jc w:val="both"/>
              <w:rPr>
                <w:rFonts w:ascii="Garamond" w:hAnsi="Garamond"/>
                <w:b/>
                <w:bCs/>
                <w:sz w:val="24"/>
                <w:szCs w:val="24"/>
              </w:rPr>
            </w:pPr>
            <w:r w:rsidRPr="00913632">
              <w:rPr>
                <w:rFonts w:ascii="Garamond" w:hAnsi="Garamond"/>
                <w:b/>
                <w:bCs/>
                <w:sz w:val="24"/>
                <w:szCs w:val="24"/>
              </w:rPr>
              <w:t>2023</w:t>
            </w:r>
          </w:p>
        </w:tc>
      </w:tr>
      <w:tr w:rsidR="00913632" w:rsidRPr="00286E0F" w14:paraId="178DDDAD" w14:textId="4691F782" w:rsidTr="00913632">
        <w:trPr>
          <w:trHeight w:val="332"/>
        </w:trPr>
        <w:tc>
          <w:tcPr>
            <w:tcW w:w="2999" w:type="dxa"/>
          </w:tcPr>
          <w:p w14:paraId="42FDD219" w14:textId="3EEF3C51" w:rsidR="00913632" w:rsidRPr="00286E0F" w:rsidRDefault="00913632" w:rsidP="00913632">
            <w:pPr>
              <w:jc w:val="both"/>
              <w:rPr>
                <w:rFonts w:ascii="Garamond" w:hAnsi="Garamond"/>
                <w:sz w:val="24"/>
                <w:szCs w:val="24"/>
              </w:rPr>
            </w:pPr>
            <w:r w:rsidRPr="00286E0F">
              <w:rPr>
                <w:rFonts w:ascii="Garamond" w:hAnsi="Garamond"/>
                <w:sz w:val="24"/>
                <w:szCs w:val="24"/>
              </w:rPr>
              <w:t>Bankruptcy</w:t>
            </w:r>
          </w:p>
        </w:tc>
        <w:tc>
          <w:tcPr>
            <w:tcW w:w="814" w:type="dxa"/>
          </w:tcPr>
          <w:p w14:paraId="6CE3043B" w14:textId="1632D960"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5C264112" w14:textId="37C9FC23" w:rsidR="00913632" w:rsidRPr="00286E0F" w:rsidRDefault="00913632" w:rsidP="00913632">
            <w:pPr>
              <w:jc w:val="both"/>
              <w:rPr>
                <w:rFonts w:ascii="Garamond" w:hAnsi="Garamond"/>
                <w:sz w:val="24"/>
                <w:szCs w:val="24"/>
              </w:rPr>
            </w:pPr>
            <w:r w:rsidRPr="00286E0F">
              <w:rPr>
                <w:rFonts w:ascii="Garamond" w:hAnsi="Garamond"/>
                <w:sz w:val="24"/>
                <w:szCs w:val="24"/>
              </w:rPr>
              <w:t>2</w:t>
            </w:r>
          </w:p>
        </w:tc>
        <w:tc>
          <w:tcPr>
            <w:tcW w:w="878" w:type="dxa"/>
          </w:tcPr>
          <w:p w14:paraId="429B3046" w14:textId="5ADA9066"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5697B403" w14:textId="0DE2700D" w:rsidR="00913632" w:rsidRPr="00286E0F" w:rsidRDefault="00913632" w:rsidP="00913632">
            <w:pPr>
              <w:jc w:val="both"/>
              <w:rPr>
                <w:rFonts w:ascii="Garamond" w:hAnsi="Garamond"/>
                <w:sz w:val="24"/>
                <w:szCs w:val="24"/>
              </w:rPr>
            </w:pPr>
            <w:r w:rsidRPr="00286E0F">
              <w:rPr>
                <w:rFonts w:ascii="Garamond" w:hAnsi="Garamond"/>
                <w:sz w:val="24"/>
                <w:szCs w:val="24"/>
              </w:rPr>
              <w:t>1</w:t>
            </w:r>
          </w:p>
        </w:tc>
        <w:tc>
          <w:tcPr>
            <w:tcW w:w="878" w:type="dxa"/>
          </w:tcPr>
          <w:p w14:paraId="14E1B4FA" w14:textId="42F151C7" w:rsidR="00913632" w:rsidRPr="00286E0F" w:rsidRDefault="00913632" w:rsidP="00913632">
            <w:pPr>
              <w:jc w:val="both"/>
              <w:rPr>
                <w:rFonts w:ascii="Garamond" w:hAnsi="Garamond"/>
                <w:sz w:val="24"/>
                <w:szCs w:val="24"/>
              </w:rPr>
            </w:pPr>
            <w:r w:rsidRPr="00286E0F">
              <w:rPr>
                <w:rFonts w:ascii="Garamond" w:hAnsi="Garamond"/>
                <w:sz w:val="24"/>
                <w:szCs w:val="24"/>
              </w:rPr>
              <w:t>2</w:t>
            </w:r>
          </w:p>
        </w:tc>
        <w:tc>
          <w:tcPr>
            <w:tcW w:w="878" w:type="dxa"/>
          </w:tcPr>
          <w:p w14:paraId="31E8A526" w14:textId="3EDB1BD4"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451483D6" w14:textId="76C77A5D"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r>
      <w:tr w:rsidR="00913632" w:rsidRPr="00286E0F" w14:paraId="620C6CE9" w14:textId="79480B57" w:rsidTr="00913632">
        <w:trPr>
          <w:trHeight w:val="352"/>
        </w:trPr>
        <w:tc>
          <w:tcPr>
            <w:tcW w:w="2999" w:type="dxa"/>
          </w:tcPr>
          <w:p w14:paraId="203BDE41" w14:textId="7AE9BD20" w:rsidR="00913632" w:rsidRPr="00286E0F" w:rsidRDefault="00913632" w:rsidP="00913632">
            <w:pPr>
              <w:jc w:val="both"/>
              <w:rPr>
                <w:rFonts w:ascii="Garamond" w:hAnsi="Garamond"/>
                <w:sz w:val="24"/>
                <w:szCs w:val="24"/>
              </w:rPr>
            </w:pPr>
            <w:r w:rsidRPr="00286E0F">
              <w:rPr>
                <w:rFonts w:ascii="Garamond" w:hAnsi="Garamond"/>
                <w:sz w:val="24"/>
                <w:szCs w:val="24"/>
              </w:rPr>
              <w:t xml:space="preserve">Charity </w:t>
            </w:r>
          </w:p>
        </w:tc>
        <w:tc>
          <w:tcPr>
            <w:tcW w:w="814" w:type="dxa"/>
          </w:tcPr>
          <w:p w14:paraId="4C946A1A" w14:textId="707D79CB"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74B744A7" w14:textId="18B65736"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35D1B95F" w14:textId="263C6CD7" w:rsidR="00913632" w:rsidRPr="00286E0F" w:rsidRDefault="00913632" w:rsidP="00913632">
            <w:pPr>
              <w:jc w:val="both"/>
              <w:rPr>
                <w:rFonts w:ascii="Garamond" w:hAnsi="Garamond"/>
                <w:sz w:val="24"/>
                <w:szCs w:val="24"/>
              </w:rPr>
            </w:pPr>
            <w:r w:rsidRPr="00286E0F">
              <w:rPr>
                <w:rFonts w:ascii="Garamond" w:hAnsi="Garamond"/>
                <w:sz w:val="24"/>
                <w:szCs w:val="24"/>
              </w:rPr>
              <w:t>2</w:t>
            </w:r>
          </w:p>
        </w:tc>
        <w:tc>
          <w:tcPr>
            <w:tcW w:w="878" w:type="dxa"/>
          </w:tcPr>
          <w:p w14:paraId="49C15158" w14:textId="77282CC0" w:rsidR="00913632" w:rsidRPr="00286E0F" w:rsidRDefault="00913632" w:rsidP="00913632">
            <w:pPr>
              <w:jc w:val="both"/>
              <w:rPr>
                <w:rFonts w:ascii="Garamond" w:hAnsi="Garamond"/>
                <w:sz w:val="24"/>
                <w:szCs w:val="24"/>
              </w:rPr>
            </w:pPr>
            <w:r w:rsidRPr="00286E0F">
              <w:rPr>
                <w:rFonts w:ascii="Garamond" w:hAnsi="Garamond"/>
                <w:sz w:val="24"/>
                <w:szCs w:val="24"/>
              </w:rPr>
              <w:t>1</w:t>
            </w:r>
          </w:p>
        </w:tc>
        <w:tc>
          <w:tcPr>
            <w:tcW w:w="878" w:type="dxa"/>
          </w:tcPr>
          <w:p w14:paraId="185A8306" w14:textId="5B49A7E0"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63613FCA" w14:textId="33BA2C65"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24D91495" w14:textId="0845E760"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r>
      <w:tr w:rsidR="00913632" w:rsidRPr="00286E0F" w14:paraId="6706A25E" w14:textId="09FBDA00" w:rsidTr="00913632">
        <w:trPr>
          <w:trHeight w:val="352"/>
        </w:trPr>
        <w:tc>
          <w:tcPr>
            <w:tcW w:w="2999" w:type="dxa"/>
          </w:tcPr>
          <w:p w14:paraId="72AD39BE" w14:textId="74095C53" w:rsidR="00913632" w:rsidRPr="00286E0F" w:rsidRDefault="00913632" w:rsidP="00913632">
            <w:pPr>
              <w:jc w:val="both"/>
              <w:rPr>
                <w:rFonts w:ascii="Garamond" w:hAnsi="Garamond"/>
                <w:sz w:val="24"/>
                <w:szCs w:val="24"/>
              </w:rPr>
            </w:pPr>
            <w:r w:rsidRPr="00286E0F">
              <w:rPr>
                <w:rFonts w:ascii="Garamond" w:hAnsi="Garamond"/>
                <w:sz w:val="24"/>
                <w:szCs w:val="24"/>
              </w:rPr>
              <w:t xml:space="preserve">Childrens Scotland Act </w:t>
            </w:r>
          </w:p>
        </w:tc>
        <w:tc>
          <w:tcPr>
            <w:tcW w:w="814" w:type="dxa"/>
          </w:tcPr>
          <w:p w14:paraId="7A06C77A" w14:textId="49DA69D3"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711F9D69" w14:textId="5B1AA07D"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64E6BC5B" w14:textId="278BB746"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02D4C89A" w14:textId="3602C66E"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382071BF" w14:textId="2383472C"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4FB86FE6" w14:textId="7E4E3B52"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71A9AE48" w14:textId="1A46BEEA"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r>
      <w:tr w:rsidR="00913632" w:rsidRPr="00286E0F" w14:paraId="3536CD03" w14:textId="635715BD" w:rsidTr="00913632">
        <w:trPr>
          <w:trHeight w:val="332"/>
        </w:trPr>
        <w:tc>
          <w:tcPr>
            <w:tcW w:w="2999" w:type="dxa"/>
          </w:tcPr>
          <w:p w14:paraId="42D9856B" w14:textId="2627C4FB" w:rsidR="00913632" w:rsidRPr="00286E0F" w:rsidRDefault="00913632" w:rsidP="00913632">
            <w:pPr>
              <w:jc w:val="both"/>
              <w:rPr>
                <w:rFonts w:ascii="Garamond" w:hAnsi="Garamond"/>
                <w:sz w:val="24"/>
                <w:szCs w:val="24"/>
              </w:rPr>
            </w:pPr>
            <w:r w:rsidRPr="00286E0F">
              <w:rPr>
                <w:rFonts w:ascii="Garamond" w:hAnsi="Garamond"/>
                <w:sz w:val="24"/>
                <w:szCs w:val="24"/>
              </w:rPr>
              <w:t xml:space="preserve">Executry </w:t>
            </w:r>
          </w:p>
        </w:tc>
        <w:tc>
          <w:tcPr>
            <w:tcW w:w="814" w:type="dxa"/>
          </w:tcPr>
          <w:p w14:paraId="386F47AB" w14:textId="4DB3B00A" w:rsidR="00913632" w:rsidRPr="00286E0F" w:rsidRDefault="00913632" w:rsidP="00913632">
            <w:pPr>
              <w:jc w:val="both"/>
              <w:rPr>
                <w:rFonts w:ascii="Garamond" w:hAnsi="Garamond"/>
                <w:sz w:val="24"/>
                <w:szCs w:val="24"/>
              </w:rPr>
            </w:pPr>
            <w:r w:rsidRPr="00286E0F">
              <w:rPr>
                <w:rFonts w:ascii="Garamond" w:hAnsi="Garamond"/>
                <w:sz w:val="24"/>
                <w:szCs w:val="24"/>
              </w:rPr>
              <w:t>1</w:t>
            </w:r>
          </w:p>
        </w:tc>
        <w:tc>
          <w:tcPr>
            <w:tcW w:w="878" w:type="dxa"/>
          </w:tcPr>
          <w:p w14:paraId="201D4BC8" w14:textId="01755DDB" w:rsidR="00913632" w:rsidRPr="00286E0F" w:rsidRDefault="00913632" w:rsidP="00913632">
            <w:pPr>
              <w:jc w:val="both"/>
              <w:rPr>
                <w:rFonts w:ascii="Garamond" w:hAnsi="Garamond"/>
                <w:sz w:val="24"/>
                <w:szCs w:val="24"/>
              </w:rPr>
            </w:pPr>
            <w:r w:rsidRPr="00286E0F">
              <w:rPr>
                <w:rFonts w:ascii="Garamond" w:hAnsi="Garamond"/>
                <w:sz w:val="24"/>
                <w:szCs w:val="24"/>
              </w:rPr>
              <w:t>3</w:t>
            </w:r>
          </w:p>
        </w:tc>
        <w:tc>
          <w:tcPr>
            <w:tcW w:w="878" w:type="dxa"/>
          </w:tcPr>
          <w:p w14:paraId="1EF0F746" w14:textId="0E9E5575" w:rsidR="00913632" w:rsidRPr="00286E0F" w:rsidRDefault="00913632" w:rsidP="00913632">
            <w:pPr>
              <w:jc w:val="both"/>
              <w:rPr>
                <w:rFonts w:ascii="Garamond" w:hAnsi="Garamond"/>
                <w:sz w:val="24"/>
                <w:szCs w:val="24"/>
              </w:rPr>
            </w:pPr>
            <w:r w:rsidRPr="00286E0F">
              <w:rPr>
                <w:rFonts w:ascii="Garamond" w:hAnsi="Garamond"/>
                <w:sz w:val="24"/>
                <w:szCs w:val="24"/>
              </w:rPr>
              <w:t>6</w:t>
            </w:r>
          </w:p>
        </w:tc>
        <w:tc>
          <w:tcPr>
            <w:tcW w:w="878" w:type="dxa"/>
          </w:tcPr>
          <w:p w14:paraId="1D4AF413" w14:textId="6B411423" w:rsidR="00913632" w:rsidRPr="00286E0F" w:rsidRDefault="00913632" w:rsidP="00913632">
            <w:pPr>
              <w:jc w:val="both"/>
              <w:rPr>
                <w:rFonts w:ascii="Garamond" w:hAnsi="Garamond"/>
                <w:sz w:val="24"/>
                <w:szCs w:val="24"/>
              </w:rPr>
            </w:pPr>
            <w:r w:rsidRPr="00286E0F">
              <w:rPr>
                <w:rFonts w:ascii="Garamond" w:hAnsi="Garamond"/>
                <w:sz w:val="24"/>
                <w:szCs w:val="24"/>
              </w:rPr>
              <w:t>3</w:t>
            </w:r>
          </w:p>
        </w:tc>
        <w:tc>
          <w:tcPr>
            <w:tcW w:w="878" w:type="dxa"/>
          </w:tcPr>
          <w:p w14:paraId="5F8246DB" w14:textId="3AAE759E" w:rsidR="00913632" w:rsidRPr="00286E0F" w:rsidRDefault="00913632" w:rsidP="00913632">
            <w:pPr>
              <w:jc w:val="both"/>
              <w:rPr>
                <w:rFonts w:ascii="Garamond" w:hAnsi="Garamond"/>
                <w:sz w:val="24"/>
                <w:szCs w:val="24"/>
              </w:rPr>
            </w:pPr>
            <w:r w:rsidRPr="00286E0F">
              <w:rPr>
                <w:rFonts w:ascii="Garamond" w:hAnsi="Garamond"/>
                <w:sz w:val="24"/>
                <w:szCs w:val="24"/>
              </w:rPr>
              <w:t>3</w:t>
            </w:r>
          </w:p>
        </w:tc>
        <w:tc>
          <w:tcPr>
            <w:tcW w:w="878" w:type="dxa"/>
          </w:tcPr>
          <w:p w14:paraId="23E5241D" w14:textId="51E30A09" w:rsidR="00913632" w:rsidRPr="00286E0F" w:rsidRDefault="00913632" w:rsidP="00913632">
            <w:pPr>
              <w:jc w:val="both"/>
              <w:rPr>
                <w:rFonts w:ascii="Garamond" w:hAnsi="Garamond"/>
                <w:sz w:val="24"/>
                <w:szCs w:val="24"/>
              </w:rPr>
            </w:pPr>
            <w:r w:rsidRPr="00286E0F">
              <w:rPr>
                <w:rFonts w:ascii="Garamond" w:hAnsi="Garamond"/>
                <w:sz w:val="24"/>
                <w:szCs w:val="24"/>
              </w:rPr>
              <w:t>2</w:t>
            </w:r>
          </w:p>
        </w:tc>
        <w:tc>
          <w:tcPr>
            <w:tcW w:w="878" w:type="dxa"/>
          </w:tcPr>
          <w:p w14:paraId="28A73D3C" w14:textId="0E04DABB" w:rsidR="00913632" w:rsidRPr="00286E0F" w:rsidRDefault="00913632" w:rsidP="00913632">
            <w:pPr>
              <w:jc w:val="both"/>
              <w:rPr>
                <w:rFonts w:ascii="Garamond" w:hAnsi="Garamond"/>
                <w:sz w:val="24"/>
                <w:szCs w:val="24"/>
              </w:rPr>
            </w:pPr>
            <w:r w:rsidRPr="00286E0F">
              <w:rPr>
                <w:rFonts w:ascii="Garamond" w:hAnsi="Garamond"/>
                <w:sz w:val="24"/>
                <w:szCs w:val="24"/>
              </w:rPr>
              <w:t>3</w:t>
            </w:r>
          </w:p>
        </w:tc>
      </w:tr>
      <w:tr w:rsidR="00913632" w:rsidRPr="00286E0F" w14:paraId="0A3C8F76" w14:textId="20AA9AED" w:rsidTr="00913632">
        <w:trPr>
          <w:trHeight w:val="352"/>
        </w:trPr>
        <w:tc>
          <w:tcPr>
            <w:tcW w:w="2999" w:type="dxa"/>
          </w:tcPr>
          <w:p w14:paraId="044536F6" w14:textId="5EBC8927" w:rsidR="00913632" w:rsidRPr="00286E0F" w:rsidRDefault="00913632" w:rsidP="00913632">
            <w:pPr>
              <w:jc w:val="both"/>
              <w:rPr>
                <w:rFonts w:ascii="Garamond" w:hAnsi="Garamond"/>
                <w:sz w:val="24"/>
                <w:szCs w:val="24"/>
              </w:rPr>
            </w:pPr>
            <w:r w:rsidRPr="00286E0F">
              <w:rPr>
                <w:rFonts w:ascii="Garamond" w:hAnsi="Garamond"/>
                <w:sz w:val="24"/>
                <w:szCs w:val="24"/>
              </w:rPr>
              <w:t>Limited Co</w:t>
            </w:r>
          </w:p>
        </w:tc>
        <w:tc>
          <w:tcPr>
            <w:tcW w:w="814" w:type="dxa"/>
          </w:tcPr>
          <w:p w14:paraId="6820B13E" w14:textId="70D7BDDE"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493C7F00" w14:textId="1F9BEB01"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30E0F6EC" w14:textId="3B935ADB"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416D7FFF" w14:textId="1F116711"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20D41F52" w14:textId="79ABB30A"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04C263C9" w14:textId="4B008BDB"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307AC513" w14:textId="6F0228E6"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r>
      <w:tr w:rsidR="00913632" w:rsidRPr="00286E0F" w14:paraId="4195C574" w14:textId="1F14D23E" w:rsidTr="00913632">
        <w:trPr>
          <w:trHeight w:val="352"/>
        </w:trPr>
        <w:tc>
          <w:tcPr>
            <w:tcW w:w="2999" w:type="dxa"/>
          </w:tcPr>
          <w:p w14:paraId="13721B8F" w14:textId="05614C02" w:rsidR="00913632" w:rsidRPr="00286E0F" w:rsidRDefault="00913632" w:rsidP="00913632">
            <w:pPr>
              <w:jc w:val="both"/>
              <w:rPr>
                <w:rFonts w:ascii="Garamond" w:hAnsi="Garamond"/>
                <w:sz w:val="24"/>
                <w:szCs w:val="24"/>
              </w:rPr>
            </w:pPr>
            <w:r w:rsidRPr="00286E0F">
              <w:rPr>
                <w:rFonts w:ascii="Garamond" w:hAnsi="Garamond"/>
                <w:sz w:val="24"/>
                <w:szCs w:val="24"/>
              </w:rPr>
              <w:t>Partnership</w:t>
            </w:r>
          </w:p>
        </w:tc>
        <w:tc>
          <w:tcPr>
            <w:tcW w:w="814" w:type="dxa"/>
          </w:tcPr>
          <w:p w14:paraId="1011394F" w14:textId="388B0AED" w:rsidR="00913632" w:rsidRPr="00286E0F" w:rsidRDefault="00913632" w:rsidP="00913632">
            <w:pPr>
              <w:jc w:val="both"/>
              <w:rPr>
                <w:rFonts w:ascii="Garamond" w:hAnsi="Garamond"/>
                <w:sz w:val="24"/>
                <w:szCs w:val="24"/>
              </w:rPr>
            </w:pPr>
            <w:r w:rsidRPr="00286E0F">
              <w:rPr>
                <w:rFonts w:ascii="Garamond" w:hAnsi="Garamond"/>
                <w:sz w:val="24"/>
                <w:szCs w:val="24"/>
              </w:rPr>
              <w:t>3</w:t>
            </w:r>
          </w:p>
        </w:tc>
        <w:tc>
          <w:tcPr>
            <w:tcW w:w="878" w:type="dxa"/>
          </w:tcPr>
          <w:p w14:paraId="7FD039C7" w14:textId="492EF8D1"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72457C54" w14:textId="2A0C5826" w:rsidR="00913632" w:rsidRPr="00286E0F" w:rsidRDefault="00913632" w:rsidP="00913632">
            <w:pPr>
              <w:jc w:val="both"/>
              <w:rPr>
                <w:rFonts w:ascii="Garamond" w:hAnsi="Garamond"/>
                <w:sz w:val="24"/>
                <w:szCs w:val="24"/>
              </w:rPr>
            </w:pPr>
            <w:r w:rsidRPr="00286E0F">
              <w:rPr>
                <w:rFonts w:ascii="Garamond" w:hAnsi="Garamond"/>
                <w:sz w:val="24"/>
                <w:szCs w:val="24"/>
              </w:rPr>
              <w:t>1</w:t>
            </w:r>
          </w:p>
        </w:tc>
        <w:tc>
          <w:tcPr>
            <w:tcW w:w="878" w:type="dxa"/>
          </w:tcPr>
          <w:p w14:paraId="6EBF983A" w14:textId="369E64B3" w:rsidR="00913632" w:rsidRPr="00286E0F" w:rsidRDefault="00913632" w:rsidP="00913632">
            <w:pPr>
              <w:jc w:val="both"/>
              <w:rPr>
                <w:rFonts w:ascii="Garamond" w:hAnsi="Garamond"/>
                <w:sz w:val="24"/>
                <w:szCs w:val="24"/>
              </w:rPr>
            </w:pPr>
            <w:r w:rsidRPr="00286E0F">
              <w:rPr>
                <w:rFonts w:ascii="Garamond" w:hAnsi="Garamond"/>
                <w:sz w:val="24"/>
                <w:szCs w:val="24"/>
              </w:rPr>
              <w:t>1</w:t>
            </w:r>
          </w:p>
        </w:tc>
        <w:tc>
          <w:tcPr>
            <w:tcW w:w="878" w:type="dxa"/>
          </w:tcPr>
          <w:p w14:paraId="473FD0B2" w14:textId="7589F806" w:rsidR="00913632" w:rsidRPr="00286E0F" w:rsidRDefault="00913632" w:rsidP="00913632">
            <w:pPr>
              <w:jc w:val="both"/>
              <w:rPr>
                <w:rFonts w:ascii="Garamond" w:hAnsi="Garamond"/>
                <w:sz w:val="24"/>
                <w:szCs w:val="24"/>
              </w:rPr>
            </w:pPr>
            <w:r w:rsidRPr="00286E0F">
              <w:rPr>
                <w:rFonts w:ascii="Garamond" w:hAnsi="Garamond"/>
                <w:sz w:val="24"/>
                <w:szCs w:val="24"/>
              </w:rPr>
              <w:t>1</w:t>
            </w:r>
          </w:p>
        </w:tc>
        <w:tc>
          <w:tcPr>
            <w:tcW w:w="878" w:type="dxa"/>
          </w:tcPr>
          <w:p w14:paraId="76361E98" w14:textId="48FCE595" w:rsidR="00913632" w:rsidRPr="00286E0F" w:rsidRDefault="00913632" w:rsidP="00913632">
            <w:pPr>
              <w:jc w:val="both"/>
              <w:rPr>
                <w:rFonts w:ascii="Garamond" w:hAnsi="Garamond"/>
                <w:sz w:val="24"/>
                <w:szCs w:val="24"/>
              </w:rPr>
            </w:pPr>
            <w:r w:rsidRPr="00286E0F">
              <w:rPr>
                <w:rFonts w:ascii="Garamond" w:hAnsi="Garamond"/>
                <w:sz w:val="24"/>
                <w:szCs w:val="24"/>
              </w:rPr>
              <w:t>2</w:t>
            </w:r>
          </w:p>
        </w:tc>
        <w:tc>
          <w:tcPr>
            <w:tcW w:w="878" w:type="dxa"/>
          </w:tcPr>
          <w:p w14:paraId="15409692" w14:textId="29005215"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r>
      <w:tr w:rsidR="00913632" w:rsidRPr="00286E0F" w14:paraId="051D49CA" w14:textId="77777777" w:rsidTr="00913632">
        <w:trPr>
          <w:trHeight w:val="332"/>
        </w:trPr>
        <w:tc>
          <w:tcPr>
            <w:tcW w:w="2999" w:type="dxa"/>
          </w:tcPr>
          <w:p w14:paraId="595DE1D7" w14:textId="00ADA713" w:rsidR="00913632" w:rsidRPr="00286E0F" w:rsidRDefault="00913632" w:rsidP="00913632">
            <w:pPr>
              <w:jc w:val="both"/>
              <w:rPr>
                <w:rFonts w:ascii="Garamond" w:hAnsi="Garamond"/>
                <w:sz w:val="24"/>
                <w:szCs w:val="24"/>
              </w:rPr>
            </w:pPr>
            <w:r w:rsidRPr="00286E0F">
              <w:rPr>
                <w:rFonts w:ascii="Garamond" w:hAnsi="Garamond"/>
                <w:sz w:val="24"/>
                <w:szCs w:val="24"/>
              </w:rPr>
              <w:lastRenderedPageBreak/>
              <w:t xml:space="preserve">Misc </w:t>
            </w:r>
          </w:p>
        </w:tc>
        <w:tc>
          <w:tcPr>
            <w:tcW w:w="814" w:type="dxa"/>
          </w:tcPr>
          <w:p w14:paraId="38727E36" w14:textId="3538390A"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1B60B85C" w14:textId="48F0FBE4"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688D539F" w14:textId="5FFC29B3"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10CDEF6E" w14:textId="67D8A9FE"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4766FB52" w14:textId="7DFE59AD"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54C440A5" w14:textId="21C32AF9"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07F0DB34" w14:textId="5754664D"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r>
      <w:tr w:rsidR="00913632" w:rsidRPr="00286E0F" w14:paraId="0AE84FCE" w14:textId="77777777" w:rsidTr="00913632">
        <w:trPr>
          <w:trHeight w:val="352"/>
        </w:trPr>
        <w:tc>
          <w:tcPr>
            <w:tcW w:w="2999" w:type="dxa"/>
          </w:tcPr>
          <w:p w14:paraId="08A41423" w14:textId="20EF2CCE" w:rsidR="00913632" w:rsidRPr="00286E0F" w:rsidRDefault="00913632" w:rsidP="00913632">
            <w:pPr>
              <w:jc w:val="both"/>
              <w:rPr>
                <w:rFonts w:ascii="Garamond" w:hAnsi="Garamond"/>
                <w:sz w:val="24"/>
                <w:szCs w:val="24"/>
              </w:rPr>
            </w:pPr>
            <w:r w:rsidRPr="00286E0F">
              <w:rPr>
                <w:rFonts w:ascii="Garamond" w:hAnsi="Garamond"/>
                <w:sz w:val="24"/>
                <w:szCs w:val="24"/>
              </w:rPr>
              <w:t>Solicitor Act *</w:t>
            </w:r>
          </w:p>
        </w:tc>
        <w:tc>
          <w:tcPr>
            <w:tcW w:w="814" w:type="dxa"/>
          </w:tcPr>
          <w:p w14:paraId="12212BA2" w14:textId="52EA1044" w:rsidR="00913632" w:rsidRPr="00286E0F" w:rsidRDefault="00913632" w:rsidP="00913632">
            <w:pPr>
              <w:jc w:val="both"/>
              <w:rPr>
                <w:rFonts w:ascii="Garamond" w:hAnsi="Garamond"/>
                <w:sz w:val="24"/>
                <w:szCs w:val="24"/>
              </w:rPr>
            </w:pPr>
            <w:r w:rsidRPr="00286E0F">
              <w:rPr>
                <w:rFonts w:ascii="Garamond" w:hAnsi="Garamond"/>
                <w:sz w:val="24"/>
                <w:szCs w:val="24"/>
              </w:rPr>
              <w:t>1</w:t>
            </w:r>
          </w:p>
        </w:tc>
        <w:tc>
          <w:tcPr>
            <w:tcW w:w="878" w:type="dxa"/>
          </w:tcPr>
          <w:p w14:paraId="1D93A698" w14:textId="787ED9A4" w:rsidR="00913632" w:rsidRPr="00286E0F" w:rsidRDefault="00913632" w:rsidP="00913632">
            <w:pPr>
              <w:jc w:val="both"/>
              <w:rPr>
                <w:rFonts w:ascii="Garamond" w:hAnsi="Garamond"/>
                <w:sz w:val="24"/>
                <w:szCs w:val="24"/>
              </w:rPr>
            </w:pPr>
            <w:r w:rsidRPr="00286E0F">
              <w:rPr>
                <w:rFonts w:ascii="Garamond" w:hAnsi="Garamond"/>
                <w:sz w:val="24"/>
                <w:szCs w:val="24"/>
              </w:rPr>
              <w:t>2</w:t>
            </w:r>
          </w:p>
        </w:tc>
        <w:tc>
          <w:tcPr>
            <w:tcW w:w="878" w:type="dxa"/>
          </w:tcPr>
          <w:p w14:paraId="446AC64C" w14:textId="357059B9" w:rsidR="00913632" w:rsidRPr="00286E0F" w:rsidRDefault="00913632" w:rsidP="00913632">
            <w:pPr>
              <w:jc w:val="both"/>
              <w:rPr>
                <w:rFonts w:ascii="Garamond" w:hAnsi="Garamond"/>
                <w:sz w:val="24"/>
                <w:szCs w:val="24"/>
              </w:rPr>
            </w:pPr>
            <w:r w:rsidRPr="00286E0F">
              <w:rPr>
                <w:rFonts w:ascii="Garamond" w:hAnsi="Garamond"/>
                <w:sz w:val="24"/>
                <w:szCs w:val="24"/>
              </w:rPr>
              <w:t>3</w:t>
            </w:r>
          </w:p>
        </w:tc>
        <w:tc>
          <w:tcPr>
            <w:tcW w:w="878" w:type="dxa"/>
          </w:tcPr>
          <w:p w14:paraId="4F462A79" w14:textId="322ECC79"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51D84E21" w14:textId="4867159F" w:rsidR="00913632" w:rsidRPr="00286E0F" w:rsidRDefault="00913632" w:rsidP="00913632">
            <w:pPr>
              <w:jc w:val="both"/>
              <w:rPr>
                <w:rFonts w:ascii="Garamond" w:hAnsi="Garamond"/>
                <w:sz w:val="24"/>
                <w:szCs w:val="24"/>
              </w:rPr>
            </w:pPr>
            <w:r w:rsidRPr="00286E0F">
              <w:rPr>
                <w:rFonts w:ascii="Garamond" w:hAnsi="Garamond"/>
                <w:sz w:val="24"/>
                <w:szCs w:val="24"/>
              </w:rPr>
              <w:t>3</w:t>
            </w:r>
          </w:p>
        </w:tc>
        <w:tc>
          <w:tcPr>
            <w:tcW w:w="878" w:type="dxa"/>
          </w:tcPr>
          <w:p w14:paraId="723A3096" w14:textId="35B56288" w:rsidR="00913632" w:rsidRPr="00286E0F" w:rsidRDefault="00913632" w:rsidP="00913632">
            <w:pPr>
              <w:jc w:val="both"/>
              <w:rPr>
                <w:rFonts w:ascii="Garamond" w:hAnsi="Garamond"/>
                <w:sz w:val="24"/>
                <w:szCs w:val="24"/>
              </w:rPr>
            </w:pPr>
            <w:r w:rsidRPr="00286E0F">
              <w:rPr>
                <w:rFonts w:ascii="Garamond" w:hAnsi="Garamond"/>
                <w:sz w:val="24"/>
                <w:szCs w:val="24"/>
              </w:rPr>
              <w:t>3</w:t>
            </w:r>
          </w:p>
        </w:tc>
        <w:tc>
          <w:tcPr>
            <w:tcW w:w="878" w:type="dxa"/>
          </w:tcPr>
          <w:p w14:paraId="3D66DA36" w14:textId="0A91D938" w:rsidR="00913632" w:rsidRPr="00286E0F" w:rsidRDefault="00913632" w:rsidP="00913632">
            <w:pPr>
              <w:jc w:val="both"/>
              <w:rPr>
                <w:rFonts w:ascii="Garamond" w:hAnsi="Garamond"/>
                <w:sz w:val="24"/>
                <w:szCs w:val="24"/>
              </w:rPr>
            </w:pPr>
            <w:r w:rsidRPr="00286E0F">
              <w:rPr>
                <w:rFonts w:ascii="Garamond" w:hAnsi="Garamond"/>
                <w:sz w:val="24"/>
                <w:szCs w:val="24"/>
              </w:rPr>
              <w:t>4</w:t>
            </w:r>
          </w:p>
        </w:tc>
      </w:tr>
      <w:tr w:rsidR="00913632" w:rsidRPr="00286E0F" w14:paraId="7A99ED34" w14:textId="77777777" w:rsidTr="00913632">
        <w:trPr>
          <w:trHeight w:val="352"/>
        </w:trPr>
        <w:tc>
          <w:tcPr>
            <w:tcW w:w="2999" w:type="dxa"/>
          </w:tcPr>
          <w:p w14:paraId="3A468180" w14:textId="1296AC2A" w:rsidR="00913632" w:rsidRPr="00286E0F" w:rsidRDefault="00913632" w:rsidP="00913632">
            <w:pPr>
              <w:jc w:val="both"/>
              <w:rPr>
                <w:rFonts w:ascii="Garamond" w:hAnsi="Garamond"/>
                <w:sz w:val="24"/>
                <w:szCs w:val="24"/>
              </w:rPr>
            </w:pPr>
            <w:r w:rsidRPr="00286E0F">
              <w:rPr>
                <w:rFonts w:ascii="Garamond" w:hAnsi="Garamond"/>
                <w:sz w:val="24"/>
                <w:szCs w:val="24"/>
              </w:rPr>
              <w:t xml:space="preserve">Trust </w:t>
            </w:r>
          </w:p>
        </w:tc>
        <w:tc>
          <w:tcPr>
            <w:tcW w:w="814" w:type="dxa"/>
          </w:tcPr>
          <w:p w14:paraId="480BD2F8" w14:textId="757273B2"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08A94C4A" w14:textId="42CD749E" w:rsidR="00913632" w:rsidRPr="00286E0F" w:rsidRDefault="00913632" w:rsidP="00913632">
            <w:pPr>
              <w:jc w:val="both"/>
              <w:rPr>
                <w:rFonts w:ascii="Garamond" w:hAnsi="Garamond"/>
                <w:sz w:val="24"/>
                <w:szCs w:val="24"/>
              </w:rPr>
            </w:pPr>
            <w:r w:rsidRPr="00286E0F">
              <w:rPr>
                <w:rFonts w:ascii="Garamond" w:hAnsi="Garamond"/>
                <w:sz w:val="24"/>
                <w:szCs w:val="24"/>
              </w:rPr>
              <w:t>1</w:t>
            </w:r>
          </w:p>
        </w:tc>
        <w:tc>
          <w:tcPr>
            <w:tcW w:w="878" w:type="dxa"/>
          </w:tcPr>
          <w:p w14:paraId="61E05E57" w14:textId="5EFF9C1A"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779016EE" w14:textId="0F146EF6"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6DCC94CE" w14:textId="1DF17ADB"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5C7595D9" w14:textId="5402F2D5"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c>
          <w:tcPr>
            <w:tcW w:w="878" w:type="dxa"/>
          </w:tcPr>
          <w:p w14:paraId="26029F25" w14:textId="102AB5F7" w:rsidR="00913632" w:rsidRPr="00286E0F" w:rsidRDefault="00913632" w:rsidP="00913632">
            <w:pPr>
              <w:jc w:val="both"/>
              <w:rPr>
                <w:rFonts w:ascii="Garamond" w:hAnsi="Garamond"/>
                <w:sz w:val="24"/>
                <w:szCs w:val="24"/>
              </w:rPr>
            </w:pPr>
            <w:r w:rsidRPr="00286E0F">
              <w:rPr>
                <w:rFonts w:ascii="Garamond" w:hAnsi="Garamond"/>
                <w:sz w:val="24"/>
                <w:szCs w:val="24"/>
              </w:rPr>
              <w:t xml:space="preserve"> </w:t>
            </w:r>
          </w:p>
        </w:tc>
      </w:tr>
      <w:tr w:rsidR="00913632" w:rsidRPr="00286E0F" w14:paraId="79677891" w14:textId="77777777" w:rsidTr="00913632">
        <w:trPr>
          <w:trHeight w:val="332"/>
        </w:trPr>
        <w:tc>
          <w:tcPr>
            <w:tcW w:w="2999" w:type="dxa"/>
          </w:tcPr>
          <w:p w14:paraId="00F7876D" w14:textId="0013A2FE" w:rsidR="00913632" w:rsidRPr="00913632" w:rsidRDefault="00913632" w:rsidP="00913632">
            <w:pPr>
              <w:jc w:val="both"/>
              <w:rPr>
                <w:rFonts w:ascii="Garamond" w:hAnsi="Garamond"/>
                <w:b/>
                <w:bCs/>
                <w:sz w:val="24"/>
                <w:szCs w:val="24"/>
              </w:rPr>
            </w:pPr>
            <w:r w:rsidRPr="00913632">
              <w:rPr>
                <w:rFonts w:ascii="Garamond" w:hAnsi="Garamond"/>
                <w:b/>
                <w:bCs/>
                <w:sz w:val="24"/>
                <w:szCs w:val="24"/>
              </w:rPr>
              <w:t xml:space="preserve">Total </w:t>
            </w:r>
          </w:p>
        </w:tc>
        <w:tc>
          <w:tcPr>
            <w:tcW w:w="814" w:type="dxa"/>
          </w:tcPr>
          <w:p w14:paraId="7279A1B3" w14:textId="5FDDE051" w:rsidR="00913632" w:rsidRPr="00913632" w:rsidRDefault="00913632" w:rsidP="00913632">
            <w:pPr>
              <w:jc w:val="both"/>
              <w:rPr>
                <w:rFonts w:ascii="Garamond" w:hAnsi="Garamond"/>
                <w:b/>
                <w:bCs/>
                <w:sz w:val="24"/>
                <w:szCs w:val="24"/>
              </w:rPr>
            </w:pPr>
            <w:r w:rsidRPr="00913632">
              <w:rPr>
                <w:rFonts w:ascii="Garamond" w:hAnsi="Garamond"/>
                <w:b/>
                <w:bCs/>
                <w:sz w:val="24"/>
                <w:szCs w:val="24"/>
              </w:rPr>
              <w:t>5</w:t>
            </w:r>
          </w:p>
        </w:tc>
        <w:tc>
          <w:tcPr>
            <w:tcW w:w="878" w:type="dxa"/>
          </w:tcPr>
          <w:p w14:paraId="3F3D3A47" w14:textId="14A36406" w:rsidR="00913632" w:rsidRPr="00913632" w:rsidRDefault="00913632" w:rsidP="00913632">
            <w:pPr>
              <w:jc w:val="both"/>
              <w:rPr>
                <w:rFonts w:ascii="Garamond" w:hAnsi="Garamond"/>
                <w:b/>
                <w:bCs/>
                <w:sz w:val="24"/>
                <w:szCs w:val="24"/>
              </w:rPr>
            </w:pPr>
            <w:r>
              <w:rPr>
                <w:rFonts w:ascii="Garamond" w:hAnsi="Garamond"/>
                <w:b/>
                <w:bCs/>
                <w:sz w:val="24"/>
                <w:szCs w:val="24"/>
              </w:rPr>
              <w:t>8</w:t>
            </w:r>
            <w:r>
              <w:rPr>
                <w:rStyle w:val="FootnoteReference"/>
                <w:rFonts w:ascii="Garamond" w:hAnsi="Garamond"/>
                <w:b/>
                <w:bCs/>
                <w:sz w:val="24"/>
                <w:szCs w:val="24"/>
              </w:rPr>
              <w:footnoteReference w:id="1"/>
            </w:r>
            <w:r>
              <w:rPr>
                <w:rFonts w:ascii="Garamond" w:hAnsi="Garamond"/>
                <w:b/>
                <w:bCs/>
                <w:sz w:val="24"/>
                <w:szCs w:val="24"/>
              </w:rPr>
              <w:t xml:space="preserve"> </w:t>
            </w:r>
          </w:p>
        </w:tc>
        <w:tc>
          <w:tcPr>
            <w:tcW w:w="878" w:type="dxa"/>
          </w:tcPr>
          <w:p w14:paraId="2AF17F26" w14:textId="5F10EB8F" w:rsidR="00913632" w:rsidRPr="00913632" w:rsidRDefault="00913632" w:rsidP="00913632">
            <w:pPr>
              <w:jc w:val="both"/>
              <w:rPr>
                <w:rFonts w:ascii="Garamond" w:hAnsi="Garamond"/>
                <w:b/>
                <w:bCs/>
                <w:sz w:val="24"/>
                <w:szCs w:val="24"/>
              </w:rPr>
            </w:pPr>
            <w:r w:rsidRPr="00913632">
              <w:rPr>
                <w:rFonts w:ascii="Garamond" w:hAnsi="Garamond"/>
                <w:b/>
                <w:bCs/>
                <w:sz w:val="24"/>
                <w:szCs w:val="24"/>
              </w:rPr>
              <w:t>12</w:t>
            </w:r>
          </w:p>
        </w:tc>
        <w:tc>
          <w:tcPr>
            <w:tcW w:w="878" w:type="dxa"/>
          </w:tcPr>
          <w:p w14:paraId="0DA7A7FA" w14:textId="2729BC5F" w:rsidR="00913632" w:rsidRPr="00913632" w:rsidRDefault="00913632" w:rsidP="00913632">
            <w:pPr>
              <w:jc w:val="both"/>
              <w:rPr>
                <w:rFonts w:ascii="Garamond" w:hAnsi="Garamond"/>
                <w:b/>
                <w:bCs/>
                <w:sz w:val="24"/>
                <w:szCs w:val="24"/>
              </w:rPr>
            </w:pPr>
            <w:r w:rsidRPr="00913632">
              <w:rPr>
                <w:rFonts w:ascii="Garamond" w:hAnsi="Garamond"/>
                <w:b/>
                <w:bCs/>
                <w:sz w:val="24"/>
                <w:szCs w:val="24"/>
              </w:rPr>
              <w:t>6</w:t>
            </w:r>
          </w:p>
        </w:tc>
        <w:tc>
          <w:tcPr>
            <w:tcW w:w="878" w:type="dxa"/>
          </w:tcPr>
          <w:p w14:paraId="73E3ED1F" w14:textId="633FE6E8" w:rsidR="00913632" w:rsidRPr="00913632" w:rsidRDefault="00913632" w:rsidP="00913632">
            <w:pPr>
              <w:jc w:val="both"/>
              <w:rPr>
                <w:rFonts w:ascii="Garamond" w:hAnsi="Garamond"/>
                <w:b/>
                <w:bCs/>
                <w:sz w:val="24"/>
                <w:szCs w:val="24"/>
              </w:rPr>
            </w:pPr>
            <w:r>
              <w:rPr>
                <w:rFonts w:ascii="Garamond" w:hAnsi="Garamond"/>
                <w:b/>
                <w:bCs/>
                <w:sz w:val="24"/>
                <w:szCs w:val="24"/>
              </w:rPr>
              <w:t>9</w:t>
            </w:r>
            <w:r>
              <w:rPr>
                <w:rStyle w:val="FootnoteReference"/>
                <w:rFonts w:ascii="Garamond" w:hAnsi="Garamond"/>
                <w:b/>
                <w:bCs/>
                <w:sz w:val="24"/>
                <w:szCs w:val="24"/>
              </w:rPr>
              <w:footnoteReference w:id="2"/>
            </w:r>
          </w:p>
        </w:tc>
        <w:tc>
          <w:tcPr>
            <w:tcW w:w="878" w:type="dxa"/>
          </w:tcPr>
          <w:p w14:paraId="0A0CAD29" w14:textId="4798C3FC" w:rsidR="00913632" w:rsidRPr="00913632" w:rsidRDefault="00913632" w:rsidP="00913632">
            <w:pPr>
              <w:jc w:val="both"/>
              <w:rPr>
                <w:rFonts w:ascii="Garamond" w:hAnsi="Garamond"/>
                <w:b/>
                <w:bCs/>
                <w:sz w:val="24"/>
                <w:szCs w:val="24"/>
              </w:rPr>
            </w:pPr>
            <w:r w:rsidRPr="00913632">
              <w:rPr>
                <w:rFonts w:ascii="Garamond" w:hAnsi="Garamond"/>
                <w:b/>
                <w:bCs/>
                <w:sz w:val="24"/>
                <w:szCs w:val="24"/>
              </w:rPr>
              <w:t>7</w:t>
            </w:r>
          </w:p>
        </w:tc>
        <w:tc>
          <w:tcPr>
            <w:tcW w:w="878" w:type="dxa"/>
          </w:tcPr>
          <w:p w14:paraId="235BAAC7" w14:textId="4AA387F1" w:rsidR="00913632" w:rsidRPr="00913632" w:rsidRDefault="00913632" w:rsidP="00913632">
            <w:pPr>
              <w:jc w:val="both"/>
              <w:rPr>
                <w:rFonts w:ascii="Garamond" w:hAnsi="Garamond"/>
                <w:b/>
                <w:bCs/>
                <w:sz w:val="24"/>
                <w:szCs w:val="24"/>
              </w:rPr>
            </w:pPr>
            <w:r w:rsidRPr="00913632">
              <w:rPr>
                <w:rFonts w:ascii="Garamond" w:hAnsi="Garamond"/>
                <w:b/>
                <w:bCs/>
                <w:sz w:val="24"/>
                <w:szCs w:val="24"/>
              </w:rPr>
              <w:t>7</w:t>
            </w:r>
          </w:p>
        </w:tc>
      </w:tr>
    </w:tbl>
    <w:p w14:paraId="1F123756" w14:textId="77777777" w:rsidR="00286E0F" w:rsidRPr="00286E0F" w:rsidRDefault="00286E0F" w:rsidP="00286E0F">
      <w:pPr>
        <w:jc w:val="both"/>
        <w:rPr>
          <w:rFonts w:ascii="Garamond" w:hAnsi="Garamond"/>
          <w:sz w:val="24"/>
          <w:szCs w:val="24"/>
        </w:rPr>
      </w:pPr>
    </w:p>
    <w:p w14:paraId="7CB5240C" w14:textId="1D3CF2BF" w:rsidR="00286E0F" w:rsidRPr="005913B1" w:rsidRDefault="00913632" w:rsidP="00286E0F">
      <w:pPr>
        <w:jc w:val="both"/>
        <w:rPr>
          <w:rFonts w:ascii="Garamond" w:hAnsi="Garamond"/>
          <w:sz w:val="24"/>
          <w:szCs w:val="24"/>
        </w:rPr>
      </w:pPr>
      <w:r w:rsidRPr="00913632">
        <w:rPr>
          <w:rFonts w:ascii="Garamond" w:hAnsi="Garamond"/>
          <w:sz w:val="24"/>
          <w:szCs w:val="24"/>
        </w:rPr>
        <w:t>* Includes if appropriate the individual personal estates of the partners of the firm</w:t>
      </w:r>
    </w:p>
    <w:p w14:paraId="6D641674" w14:textId="77777777" w:rsidR="008B302A" w:rsidRDefault="008B302A" w:rsidP="00286E0F">
      <w:pPr>
        <w:jc w:val="both"/>
        <w:rPr>
          <w:rFonts w:ascii="Garamond" w:hAnsi="Garamond"/>
          <w:sz w:val="24"/>
          <w:szCs w:val="24"/>
          <w:u w:val="single"/>
        </w:rPr>
      </w:pPr>
    </w:p>
    <w:p w14:paraId="4153F088" w14:textId="7C30EA2A" w:rsidR="003E028D" w:rsidRPr="003E028D" w:rsidRDefault="003E028D" w:rsidP="00286E0F">
      <w:pPr>
        <w:jc w:val="both"/>
        <w:rPr>
          <w:rFonts w:ascii="Garamond" w:hAnsi="Garamond"/>
          <w:b/>
          <w:bCs/>
          <w:sz w:val="24"/>
          <w:szCs w:val="24"/>
        </w:rPr>
      </w:pPr>
      <w:r w:rsidRPr="003E028D">
        <w:rPr>
          <w:rFonts w:ascii="Garamond" w:hAnsi="Garamond"/>
          <w:b/>
          <w:bCs/>
          <w:sz w:val="24"/>
          <w:szCs w:val="24"/>
        </w:rPr>
        <w:t xml:space="preserve">Table 2: Total Live </w:t>
      </w:r>
      <w:r>
        <w:rPr>
          <w:rFonts w:ascii="Garamond" w:hAnsi="Garamond"/>
          <w:b/>
          <w:bCs/>
          <w:sz w:val="24"/>
          <w:szCs w:val="24"/>
        </w:rPr>
        <w:t>C</w:t>
      </w:r>
      <w:r w:rsidRPr="003E028D">
        <w:rPr>
          <w:rFonts w:ascii="Garamond" w:hAnsi="Garamond"/>
          <w:b/>
          <w:bCs/>
          <w:sz w:val="24"/>
          <w:szCs w:val="24"/>
        </w:rPr>
        <w:t xml:space="preserve">ases at </w:t>
      </w:r>
      <w:r>
        <w:rPr>
          <w:rFonts w:ascii="Garamond" w:hAnsi="Garamond"/>
          <w:b/>
          <w:bCs/>
          <w:sz w:val="24"/>
          <w:szCs w:val="24"/>
        </w:rPr>
        <w:t>Y</w:t>
      </w:r>
      <w:r w:rsidRPr="003E028D">
        <w:rPr>
          <w:rFonts w:ascii="Garamond" w:hAnsi="Garamond"/>
          <w:b/>
          <w:bCs/>
          <w:sz w:val="24"/>
          <w:szCs w:val="24"/>
        </w:rPr>
        <w:t xml:space="preserve">ear </w:t>
      </w:r>
      <w:r>
        <w:rPr>
          <w:rFonts w:ascii="Garamond" w:hAnsi="Garamond"/>
          <w:b/>
          <w:bCs/>
          <w:sz w:val="24"/>
          <w:szCs w:val="24"/>
        </w:rPr>
        <w:t>E</w:t>
      </w:r>
      <w:r w:rsidRPr="003E028D">
        <w:rPr>
          <w:rFonts w:ascii="Garamond" w:hAnsi="Garamond"/>
          <w:b/>
          <w:bCs/>
          <w:sz w:val="24"/>
          <w:szCs w:val="24"/>
        </w:rPr>
        <w:t>nd</w:t>
      </w:r>
    </w:p>
    <w:tbl>
      <w:tblPr>
        <w:tblStyle w:val="TableGrid"/>
        <w:tblW w:w="9100" w:type="dxa"/>
        <w:tblLook w:val="04A0" w:firstRow="1" w:lastRow="0" w:firstColumn="1" w:lastColumn="0" w:noHBand="0" w:noVBand="1"/>
      </w:tblPr>
      <w:tblGrid>
        <w:gridCol w:w="2972"/>
        <w:gridCol w:w="1985"/>
        <w:gridCol w:w="2126"/>
        <w:gridCol w:w="2017"/>
      </w:tblGrid>
      <w:tr w:rsidR="003E028D" w:rsidRPr="003E028D" w14:paraId="4CDFABFF" w14:textId="77777777" w:rsidTr="003E028D">
        <w:trPr>
          <w:trHeight w:val="576"/>
        </w:trPr>
        <w:tc>
          <w:tcPr>
            <w:tcW w:w="2972" w:type="dxa"/>
          </w:tcPr>
          <w:p w14:paraId="38042FBA" w14:textId="2090BC0E" w:rsidR="003E028D" w:rsidRPr="003E028D" w:rsidRDefault="003E028D" w:rsidP="003E028D">
            <w:pPr>
              <w:jc w:val="both"/>
              <w:rPr>
                <w:rFonts w:ascii="Garamond" w:hAnsi="Garamond"/>
                <w:b/>
                <w:bCs/>
                <w:sz w:val="24"/>
                <w:szCs w:val="24"/>
                <w:u w:val="single"/>
              </w:rPr>
            </w:pPr>
            <w:r w:rsidRPr="003E028D">
              <w:rPr>
                <w:rFonts w:ascii="Garamond" w:hAnsi="Garamond"/>
                <w:b/>
                <w:bCs/>
                <w:sz w:val="24"/>
                <w:szCs w:val="24"/>
              </w:rPr>
              <w:t>Case Type</w:t>
            </w:r>
          </w:p>
        </w:tc>
        <w:tc>
          <w:tcPr>
            <w:tcW w:w="1985" w:type="dxa"/>
          </w:tcPr>
          <w:p w14:paraId="13A7C538" w14:textId="55A116CC" w:rsidR="003E028D" w:rsidRPr="003E028D" w:rsidRDefault="003E028D" w:rsidP="003E028D">
            <w:pPr>
              <w:jc w:val="both"/>
              <w:rPr>
                <w:rFonts w:ascii="Garamond" w:hAnsi="Garamond"/>
                <w:b/>
                <w:bCs/>
                <w:sz w:val="24"/>
                <w:szCs w:val="24"/>
                <w:u w:val="single"/>
              </w:rPr>
            </w:pPr>
            <w:r w:rsidRPr="003E028D">
              <w:rPr>
                <w:rFonts w:ascii="Garamond" w:hAnsi="Garamond"/>
                <w:b/>
                <w:bCs/>
                <w:sz w:val="24"/>
                <w:szCs w:val="24"/>
              </w:rPr>
              <w:t>2021</w:t>
            </w:r>
          </w:p>
        </w:tc>
        <w:tc>
          <w:tcPr>
            <w:tcW w:w="2126" w:type="dxa"/>
          </w:tcPr>
          <w:p w14:paraId="2645B63C" w14:textId="011B03BA" w:rsidR="003E028D" w:rsidRPr="003E028D" w:rsidRDefault="003E028D" w:rsidP="003E028D">
            <w:pPr>
              <w:jc w:val="both"/>
              <w:rPr>
                <w:rFonts w:ascii="Garamond" w:hAnsi="Garamond"/>
                <w:b/>
                <w:bCs/>
                <w:sz w:val="24"/>
                <w:szCs w:val="24"/>
                <w:u w:val="single"/>
              </w:rPr>
            </w:pPr>
            <w:r w:rsidRPr="003E028D">
              <w:rPr>
                <w:rFonts w:ascii="Garamond" w:hAnsi="Garamond"/>
                <w:b/>
                <w:bCs/>
                <w:sz w:val="24"/>
                <w:szCs w:val="24"/>
              </w:rPr>
              <w:t>2022</w:t>
            </w:r>
          </w:p>
        </w:tc>
        <w:tc>
          <w:tcPr>
            <w:tcW w:w="2017" w:type="dxa"/>
          </w:tcPr>
          <w:p w14:paraId="5B6CDACF" w14:textId="0960F32D" w:rsidR="003E028D" w:rsidRPr="003E028D" w:rsidRDefault="003E028D" w:rsidP="003E028D">
            <w:pPr>
              <w:jc w:val="both"/>
              <w:rPr>
                <w:rFonts w:ascii="Garamond" w:hAnsi="Garamond"/>
                <w:b/>
                <w:bCs/>
                <w:sz w:val="24"/>
                <w:szCs w:val="24"/>
                <w:u w:val="single"/>
              </w:rPr>
            </w:pPr>
            <w:r w:rsidRPr="003E028D">
              <w:rPr>
                <w:rFonts w:ascii="Garamond" w:hAnsi="Garamond"/>
                <w:b/>
                <w:bCs/>
                <w:sz w:val="24"/>
                <w:szCs w:val="24"/>
              </w:rPr>
              <w:t>2023</w:t>
            </w:r>
          </w:p>
        </w:tc>
      </w:tr>
      <w:tr w:rsidR="003E028D" w:rsidRPr="003E028D" w14:paraId="183A4D47" w14:textId="77777777" w:rsidTr="003E028D">
        <w:trPr>
          <w:trHeight w:val="288"/>
        </w:trPr>
        <w:tc>
          <w:tcPr>
            <w:tcW w:w="2972" w:type="dxa"/>
          </w:tcPr>
          <w:p w14:paraId="14A90A57" w14:textId="77777777" w:rsidR="003E028D" w:rsidRDefault="003E028D" w:rsidP="003E028D">
            <w:pPr>
              <w:jc w:val="both"/>
              <w:rPr>
                <w:rFonts w:ascii="Garamond" w:hAnsi="Garamond"/>
                <w:sz w:val="24"/>
                <w:szCs w:val="24"/>
              </w:rPr>
            </w:pPr>
            <w:r w:rsidRPr="003E028D">
              <w:rPr>
                <w:rFonts w:ascii="Garamond" w:hAnsi="Garamond"/>
                <w:sz w:val="24"/>
                <w:szCs w:val="24"/>
              </w:rPr>
              <w:t>Bankruptcy</w:t>
            </w:r>
          </w:p>
          <w:p w14:paraId="6D20DB5F" w14:textId="1144DB9B" w:rsidR="003E028D" w:rsidRPr="003E028D" w:rsidRDefault="003E028D" w:rsidP="003E028D">
            <w:pPr>
              <w:jc w:val="both"/>
              <w:rPr>
                <w:rFonts w:ascii="Garamond" w:hAnsi="Garamond"/>
                <w:sz w:val="24"/>
                <w:szCs w:val="24"/>
              </w:rPr>
            </w:pPr>
          </w:p>
        </w:tc>
        <w:tc>
          <w:tcPr>
            <w:tcW w:w="1985" w:type="dxa"/>
          </w:tcPr>
          <w:p w14:paraId="208CB829" w14:textId="21C0A236" w:rsidR="003E028D" w:rsidRPr="003E028D" w:rsidRDefault="003E028D" w:rsidP="003E028D">
            <w:pPr>
              <w:jc w:val="both"/>
              <w:rPr>
                <w:rFonts w:ascii="Garamond" w:hAnsi="Garamond"/>
                <w:sz w:val="24"/>
                <w:szCs w:val="24"/>
                <w:u w:val="single"/>
              </w:rPr>
            </w:pPr>
            <w:r w:rsidRPr="003E028D">
              <w:rPr>
                <w:rFonts w:ascii="Garamond" w:hAnsi="Garamond"/>
                <w:sz w:val="24"/>
                <w:szCs w:val="24"/>
              </w:rPr>
              <w:t>6</w:t>
            </w:r>
          </w:p>
        </w:tc>
        <w:tc>
          <w:tcPr>
            <w:tcW w:w="2126" w:type="dxa"/>
          </w:tcPr>
          <w:p w14:paraId="5181BF0E" w14:textId="211A330B" w:rsidR="003E028D" w:rsidRPr="003E028D" w:rsidRDefault="003E028D" w:rsidP="003E028D">
            <w:pPr>
              <w:jc w:val="both"/>
              <w:rPr>
                <w:rFonts w:ascii="Garamond" w:hAnsi="Garamond"/>
                <w:sz w:val="24"/>
                <w:szCs w:val="24"/>
                <w:u w:val="single"/>
              </w:rPr>
            </w:pPr>
            <w:r w:rsidRPr="003E028D">
              <w:rPr>
                <w:rFonts w:ascii="Garamond" w:hAnsi="Garamond"/>
                <w:sz w:val="24"/>
                <w:szCs w:val="24"/>
              </w:rPr>
              <w:t>5</w:t>
            </w:r>
          </w:p>
        </w:tc>
        <w:tc>
          <w:tcPr>
            <w:tcW w:w="2017" w:type="dxa"/>
          </w:tcPr>
          <w:p w14:paraId="798B64D5" w14:textId="7581B412" w:rsidR="003E028D" w:rsidRPr="003E028D" w:rsidRDefault="003E028D" w:rsidP="003E028D">
            <w:pPr>
              <w:jc w:val="both"/>
              <w:rPr>
                <w:rFonts w:ascii="Garamond" w:hAnsi="Garamond"/>
                <w:sz w:val="24"/>
                <w:szCs w:val="24"/>
                <w:u w:val="single"/>
              </w:rPr>
            </w:pPr>
            <w:r w:rsidRPr="003E028D">
              <w:rPr>
                <w:rFonts w:ascii="Garamond" w:hAnsi="Garamond"/>
                <w:sz w:val="24"/>
                <w:szCs w:val="24"/>
              </w:rPr>
              <w:t>5</w:t>
            </w:r>
          </w:p>
        </w:tc>
      </w:tr>
      <w:tr w:rsidR="003E028D" w:rsidRPr="003E028D" w14:paraId="14F18BE1" w14:textId="77777777" w:rsidTr="003E028D">
        <w:trPr>
          <w:trHeight w:val="272"/>
        </w:trPr>
        <w:tc>
          <w:tcPr>
            <w:tcW w:w="2972" w:type="dxa"/>
          </w:tcPr>
          <w:p w14:paraId="2E5A849E" w14:textId="77777777" w:rsidR="003E028D" w:rsidRDefault="003E028D" w:rsidP="003E028D">
            <w:pPr>
              <w:jc w:val="both"/>
              <w:rPr>
                <w:rFonts w:ascii="Garamond" w:hAnsi="Garamond"/>
                <w:sz w:val="24"/>
                <w:szCs w:val="24"/>
              </w:rPr>
            </w:pPr>
            <w:r w:rsidRPr="003E028D">
              <w:rPr>
                <w:rFonts w:ascii="Garamond" w:hAnsi="Garamond"/>
                <w:sz w:val="24"/>
                <w:szCs w:val="24"/>
              </w:rPr>
              <w:t xml:space="preserve">Charity </w:t>
            </w:r>
          </w:p>
          <w:p w14:paraId="536D7107" w14:textId="077ACECE" w:rsidR="003E028D" w:rsidRPr="003E028D" w:rsidRDefault="003E028D" w:rsidP="003E028D">
            <w:pPr>
              <w:jc w:val="both"/>
              <w:rPr>
                <w:rFonts w:ascii="Garamond" w:hAnsi="Garamond"/>
                <w:sz w:val="24"/>
                <w:szCs w:val="24"/>
                <w:u w:val="single"/>
              </w:rPr>
            </w:pPr>
          </w:p>
        </w:tc>
        <w:tc>
          <w:tcPr>
            <w:tcW w:w="1985" w:type="dxa"/>
          </w:tcPr>
          <w:p w14:paraId="2895EE24" w14:textId="2D8D9190" w:rsidR="003E028D" w:rsidRPr="003E028D" w:rsidRDefault="003E028D" w:rsidP="003E028D">
            <w:pPr>
              <w:jc w:val="both"/>
              <w:rPr>
                <w:rFonts w:ascii="Garamond" w:hAnsi="Garamond"/>
                <w:sz w:val="24"/>
                <w:szCs w:val="24"/>
                <w:u w:val="single"/>
              </w:rPr>
            </w:pPr>
            <w:r w:rsidRPr="003E028D">
              <w:rPr>
                <w:rFonts w:ascii="Garamond" w:hAnsi="Garamond"/>
                <w:sz w:val="24"/>
                <w:szCs w:val="24"/>
              </w:rPr>
              <w:t>4</w:t>
            </w:r>
          </w:p>
        </w:tc>
        <w:tc>
          <w:tcPr>
            <w:tcW w:w="2126" w:type="dxa"/>
          </w:tcPr>
          <w:p w14:paraId="1ADD9154" w14:textId="08564D47" w:rsidR="003E028D" w:rsidRPr="003E028D" w:rsidRDefault="003E028D" w:rsidP="003E028D">
            <w:pPr>
              <w:jc w:val="both"/>
              <w:rPr>
                <w:rFonts w:ascii="Garamond" w:hAnsi="Garamond"/>
                <w:sz w:val="24"/>
                <w:szCs w:val="24"/>
                <w:u w:val="single"/>
              </w:rPr>
            </w:pPr>
            <w:r w:rsidRPr="003E028D">
              <w:rPr>
                <w:rFonts w:ascii="Garamond" w:hAnsi="Garamond"/>
                <w:sz w:val="24"/>
                <w:szCs w:val="24"/>
              </w:rPr>
              <w:t>3</w:t>
            </w:r>
          </w:p>
        </w:tc>
        <w:tc>
          <w:tcPr>
            <w:tcW w:w="2017" w:type="dxa"/>
          </w:tcPr>
          <w:p w14:paraId="411D0A79" w14:textId="1EDDBB54" w:rsidR="003E028D" w:rsidRPr="003E028D" w:rsidRDefault="003E028D" w:rsidP="003E028D">
            <w:pPr>
              <w:jc w:val="both"/>
              <w:rPr>
                <w:rFonts w:ascii="Garamond" w:hAnsi="Garamond"/>
                <w:sz w:val="24"/>
                <w:szCs w:val="24"/>
                <w:u w:val="single"/>
              </w:rPr>
            </w:pPr>
            <w:r w:rsidRPr="003E028D">
              <w:rPr>
                <w:rFonts w:ascii="Garamond" w:hAnsi="Garamond"/>
                <w:sz w:val="24"/>
                <w:szCs w:val="24"/>
              </w:rPr>
              <w:t>2</w:t>
            </w:r>
          </w:p>
        </w:tc>
      </w:tr>
      <w:tr w:rsidR="003E028D" w:rsidRPr="003E028D" w14:paraId="693A61A7" w14:textId="77777777" w:rsidTr="003E028D">
        <w:trPr>
          <w:trHeight w:val="576"/>
        </w:trPr>
        <w:tc>
          <w:tcPr>
            <w:tcW w:w="2972" w:type="dxa"/>
          </w:tcPr>
          <w:p w14:paraId="01368B69" w14:textId="5681A774" w:rsidR="003E028D" w:rsidRPr="003E028D" w:rsidRDefault="003E028D" w:rsidP="003E028D">
            <w:pPr>
              <w:jc w:val="both"/>
              <w:rPr>
                <w:rFonts w:ascii="Garamond" w:hAnsi="Garamond"/>
                <w:sz w:val="24"/>
                <w:szCs w:val="24"/>
              </w:rPr>
            </w:pPr>
            <w:r w:rsidRPr="003E028D">
              <w:rPr>
                <w:rFonts w:ascii="Garamond" w:hAnsi="Garamond"/>
                <w:sz w:val="24"/>
                <w:szCs w:val="24"/>
              </w:rPr>
              <w:t>Childrens Scotland Act</w:t>
            </w:r>
          </w:p>
        </w:tc>
        <w:tc>
          <w:tcPr>
            <w:tcW w:w="1985" w:type="dxa"/>
          </w:tcPr>
          <w:p w14:paraId="248EFC69" w14:textId="47C3C046" w:rsidR="003E028D" w:rsidRPr="003E028D" w:rsidRDefault="003E028D" w:rsidP="003E028D">
            <w:pPr>
              <w:jc w:val="both"/>
              <w:rPr>
                <w:rFonts w:ascii="Garamond" w:hAnsi="Garamond"/>
                <w:sz w:val="24"/>
                <w:szCs w:val="24"/>
                <w:u w:val="single"/>
              </w:rPr>
            </w:pPr>
            <w:r w:rsidRPr="003E028D">
              <w:rPr>
                <w:rFonts w:ascii="Garamond" w:hAnsi="Garamond"/>
                <w:sz w:val="24"/>
                <w:szCs w:val="24"/>
              </w:rPr>
              <w:t>1</w:t>
            </w:r>
          </w:p>
        </w:tc>
        <w:tc>
          <w:tcPr>
            <w:tcW w:w="2126" w:type="dxa"/>
          </w:tcPr>
          <w:p w14:paraId="1C7603A4" w14:textId="07A85B56" w:rsidR="003E028D" w:rsidRPr="003E028D" w:rsidRDefault="003E028D" w:rsidP="003E028D">
            <w:pPr>
              <w:jc w:val="both"/>
              <w:rPr>
                <w:rFonts w:ascii="Garamond" w:hAnsi="Garamond"/>
                <w:sz w:val="24"/>
                <w:szCs w:val="24"/>
                <w:u w:val="single"/>
              </w:rPr>
            </w:pPr>
            <w:r w:rsidRPr="003E028D">
              <w:rPr>
                <w:rFonts w:ascii="Garamond" w:hAnsi="Garamond"/>
                <w:sz w:val="24"/>
                <w:szCs w:val="24"/>
              </w:rPr>
              <w:t>1</w:t>
            </w:r>
          </w:p>
        </w:tc>
        <w:tc>
          <w:tcPr>
            <w:tcW w:w="2017" w:type="dxa"/>
          </w:tcPr>
          <w:p w14:paraId="76767218" w14:textId="731EF520" w:rsidR="003E028D" w:rsidRPr="003E028D" w:rsidRDefault="003E028D" w:rsidP="003E028D">
            <w:pPr>
              <w:jc w:val="both"/>
              <w:rPr>
                <w:rFonts w:ascii="Garamond" w:hAnsi="Garamond"/>
                <w:sz w:val="24"/>
                <w:szCs w:val="24"/>
                <w:u w:val="single"/>
              </w:rPr>
            </w:pPr>
            <w:r w:rsidRPr="003E028D">
              <w:rPr>
                <w:rFonts w:ascii="Garamond" w:hAnsi="Garamond"/>
                <w:sz w:val="24"/>
                <w:szCs w:val="24"/>
              </w:rPr>
              <w:t xml:space="preserve"> </w:t>
            </w:r>
          </w:p>
        </w:tc>
      </w:tr>
      <w:tr w:rsidR="003E028D" w:rsidRPr="003E028D" w14:paraId="05C415A0" w14:textId="77777777" w:rsidTr="003E028D">
        <w:trPr>
          <w:trHeight w:val="288"/>
        </w:trPr>
        <w:tc>
          <w:tcPr>
            <w:tcW w:w="2972" w:type="dxa"/>
          </w:tcPr>
          <w:p w14:paraId="416170FD" w14:textId="77777777" w:rsidR="003E028D" w:rsidRDefault="003E028D" w:rsidP="003E028D">
            <w:pPr>
              <w:jc w:val="both"/>
              <w:rPr>
                <w:rFonts w:ascii="Garamond" w:hAnsi="Garamond"/>
                <w:sz w:val="24"/>
                <w:szCs w:val="24"/>
              </w:rPr>
            </w:pPr>
            <w:r w:rsidRPr="003E028D">
              <w:rPr>
                <w:rFonts w:ascii="Garamond" w:hAnsi="Garamond"/>
                <w:sz w:val="24"/>
                <w:szCs w:val="24"/>
              </w:rPr>
              <w:t xml:space="preserve">Executry </w:t>
            </w:r>
          </w:p>
          <w:p w14:paraId="4D81C497" w14:textId="6A60A2E5" w:rsidR="003E028D" w:rsidRPr="003E028D" w:rsidRDefault="003E028D" w:rsidP="003E028D">
            <w:pPr>
              <w:jc w:val="both"/>
              <w:rPr>
                <w:rFonts w:ascii="Garamond" w:hAnsi="Garamond"/>
                <w:sz w:val="24"/>
                <w:szCs w:val="24"/>
                <w:u w:val="single"/>
              </w:rPr>
            </w:pPr>
          </w:p>
        </w:tc>
        <w:tc>
          <w:tcPr>
            <w:tcW w:w="1985" w:type="dxa"/>
          </w:tcPr>
          <w:p w14:paraId="065FA40F" w14:textId="398CD8BD" w:rsidR="003E028D" w:rsidRPr="003E028D" w:rsidRDefault="003E028D" w:rsidP="003E028D">
            <w:pPr>
              <w:jc w:val="both"/>
              <w:rPr>
                <w:rFonts w:ascii="Garamond" w:hAnsi="Garamond"/>
                <w:sz w:val="24"/>
                <w:szCs w:val="24"/>
                <w:u w:val="single"/>
              </w:rPr>
            </w:pPr>
            <w:r w:rsidRPr="003E028D">
              <w:rPr>
                <w:rFonts w:ascii="Garamond" w:hAnsi="Garamond"/>
                <w:sz w:val="24"/>
                <w:szCs w:val="24"/>
              </w:rPr>
              <w:t>19</w:t>
            </w:r>
          </w:p>
        </w:tc>
        <w:tc>
          <w:tcPr>
            <w:tcW w:w="2126" w:type="dxa"/>
          </w:tcPr>
          <w:p w14:paraId="1E2586B4" w14:textId="68DB71F9" w:rsidR="003E028D" w:rsidRPr="003E028D" w:rsidRDefault="003E028D" w:rsidP="003E028D">
            <w:pPr>
              <w:jc w:val="both"/>
              <w:rPr>
                <w:rFonts w:ascii="Garamond" w:hAnsi="Garamond"/>
                <w:sz w:val="24"/>
                <w:szCs w:val="24"/>
                <w:u w:val="single"/>
              </w:rPr>
            </w:pPr>
            <w:r w:rsidRPr="003E028D">
              <w:rPr>
                <w:rFonts w:ascii="Garamond" w:hAnsi="Garamond"/>
                <w:sz w:val="24"/>
                <w:szCs w:val="24"/>
              </w:rPr>
              <w:t>21</w:t>
            </w:r>
          </w:p>
        </w:tc>
        <w:tc>
          <w:tcPr>
            <w:tcW w:w="2017" w:type="dxa"/>
          </w:tcPr>
          <w:p w14:paraId="20AD6429" w14:textId="1537A56C" w:rsidR="003E028D" w:rsidRPr="003E028D" w:rsidRDefault="003E028D" w:rsidP="003E028D">
            <w:pPr>
              <w:jc w:val="both"/>
              <w:rPr>
                <w:rFonts w:ascii="Garamond" w:hAnsi="Garamond"/>
                <w:sz w:val="24"/>
                <w:szCs w:val="24"/>
                <w:u w:val="single"/>
              </w:rPr>
            </w:pPr>
            <w:r w:rsidRPr="003E028D">
              <w:rPr>
                <w:rFonts w:ascii="Garamond" w:hAnsi="Garamond"/>
                <w:sz w:val="24"/>
                <w:szCs w:val="24"/>
              </w:rPr>
              <w:t>13</w:t>
            </w:r>
          </w:p>
        </w:tc>
      </w:tr>
      <w:tr w:rsidR="003E028D" w:rsidRPr="003E028D" w14:paraId="3A07E6B0" w14:textId="77777777" w:rsidTr="003E028D">
        <w:trPr>
          <w:trHeight w:val="272"/>
        </w:trPr>
        <w:tc>
          <w:tcPr>
            <w:tcW w:w="2972" w:type="dxa"/>
          </w:tcPr>
          <w:p w14:paraId="5C330D9C" w14:textId="77777777" w:rsidR="003E028D" w:rsidRDefault="003E028D" w:rsidP="003E028D">
            <w:pPr>
              <w:jc w:val="both"/>
              <w:rPr>
                <w:rFonts w:ascii="Garamond" w:hAnsi="Garamond"/>
                <w:sz w:val="24"/>
                <w:szCs w:val="24"/>
              </w:rPr>
            </w:pPr>
            <w:r w:rsidRPr="003E028D">
              <w:rPr>
                <w:rFonts w:ascii="Garamond" w:hAnsi="Garamond"/>
                <w:sz w:val="24"/>
                <w:szCs w:val="24"/>
              </w:rPr>
              <w:t>Limited Co</w:t>
            </w:r>
          </w:p>
          <w:p w14:paraId="6A7408BF" w14:textId="5CC53B5A" w:rsidR="003E028D" w:rsidRPr="003E028D" w:rsidRDefault="003E028D" w:rsidP="003E028D">
            <w:pPr>
              <w:jc w:val="both"/>
              <w:rPr>
                <w:rFonts w:ascii="Garamond" w:hAnsi="Garamond"/>
                <w:sz w:val="24"/>
                <w:szCs w:val="24"/>
                <w:u w:val="single"/>
              </w:rPr>
            </w:pPr>
          </w:p>
        </w:tc>
        <w:tc>
          <w:tcPr>
            <w:tcW w:w="1985" w:type="dxa"/>
          </w:tcPr>
          <w:p w14:paraId="0080766F" w14:textId="59561719" w:rsidR="003E028D" w:rsidRPr="003E028D" w:rsidRDefault="003E028D" w:rsidP="003E028D">
            <w:pPr>
              <w:jc w:val="both"/>
              <w:rPr>
                <w:rFonts w:ascii="Garamond" w:hAnsi="Garamond"/>
                <w:sz w:val="24"/>
                <w:szCs w:val="24"/>
                <w:u w:val="single"/>
              </w:rPr>
            </w:pPr>
            <w:r w:rsidRPr="003E028D">
              <w:rPr>
                <w:rFonts w:ascii="Garamond" w:hAnsi="Garamond"/>
                <w:sz w:val="24"/>
                <w:szCs w:val="24"/>
              </w:rPr>
              <w:t xml:space="preserve"> </w:t>
            </w:r>
          </w:p>
        </w:tc>
        <w:tc>
          <w:tcPr>
            <w:tcW w:w="2126" w:type="dxa"/>
          </w:tcPr>
          <w:p w14:paraId="5B4C3B24" w14:textId="45517FC6" w:rsidR="003E028D" w:rsidRPr="003E028D" w:rsidRDefault="003E028D" w:rsidP="003E028D">
            <w:pPr>
              <w:jc w:val="both"/>
              <w:rPr>
                <w:rFonts w:ascii="Garamond" w:hAnsi="Garamond"/>
                <w:sz w:val="24"/>
                <w:szCs w:val="24"/>
                <w:u w:val="single"/>
              </w:rPr>
            </w:pPr>
            <w:r w:rsidRPr="003E028D">
              <w:rPr>
                <w:rFonts w:ascii="Garamond" w:hAnsi="Garamond"/>
                <w:sz w:val="24"/>
                <w:szCs w:val="24"/>
              </w:rPr>
              <w:t>1</w:t>
            </w:r>
          </w:p>
        </w:tc>
        <w:tc>
          <w:tcPr>
            <w:tcW w:w="2017" w:type="dxa"/>
          </w:tcPr>
          <w:p w14:paraId="1685C479" w14:textId="233132B2" w:rsidR="003E028D" w:rsidRPr="003E028D" w:rsidRDefault="003E028D" w:rsidP="003E028D">
            <w:pPr>
              <w:jc w:val="both"/>
              <w:rPr>
                <w:rFonts w:ascii="Garamond" w:hAnsi="Garamond"/>
                <w:sz w:val="24"/>
                <w:szCs w:val="24"/>
                <w:u w:val="single"/>
              </w:rPr>
            </w:pPr>
            <w:r w:rsidRPr="003E028D">
              <w:rPr>
                <w:rFonts w:ascii="Garamond" w:hAnsi="Garamond"/>
                <w:sz w:val="24"/>
                <w:szCs w:val="24"/>
              </w:rPr>
              <w:t xml:space="preserve"> </w:t>
            </w:r>
          </w:p>
        </w:tc>
      </w:tr>
      <w:tr w:rsidR="003E028D" w:rsidRPr="003E028D" w14:paraId="44BA14A4" w14:textId="77777777" w:rsidTr="003E028D">
        <w:trPr>
          <w:trHeight w:val="288"/>
        </w:trPr>
        <w:tc>
          <w:tcPr>
            <w:tcW w:w="2972" w:type="dxa"/>
          </w:tcPr>
          <w:p w14:paraId="1FB638B6" w14:textId="77777777" w:rsidR="003E028D" w:rsidRDefault="003E028D" w:rsidP="003E028D">
            <w:pPr>
              <w:jc w:val="both"/>
              <w:rPr>
                <w:rFonts w:ascii="Garamond" w:hAnsi="Garamond"/>
                <w:sz w:val="24"/>
                <w:szCs w:val="24"/>
              </w:rPr>
            </w:pPr>
            <w:r w:rsidRPr="003E028D">
              <w:rPr>
                <w:rFonts w:ascii="Garamond" w:hAnsi="Garamond"/>
                <w:sz w:val="24"/>
                <w:szCs w:val="24"/>
              </w:rPr>
              <w:t xml:space="preserve">Partnership </w:t>
            </w:r>
          </w:p>
          <w:p w14:paraId="1B2D40F0" w14:textId="26797679" w:rsidR="003E028D" w:rsidRPr="003E028D" w:rsidRDefault="003E028D" w:rsidP="003E028D">
            <w:pPr>
              <w:jc w:val="both"/>
              <w:rPr>
                <w:rFonts w:ascii="Garamond" w:hAnsi="Garamond"/>
                <w:sz w:val="24"/>
                <w:szCs w:val="24"/>
                <w:u w:val="single"/>
              </w:rPr>
            </w:pPr>
          </w:p>
        </w:tc>
        <w:tc>
          <w:tcPr>
            <w:tcW w:w="1985" w:type="dxa"/>
          </w:tcPr>
          <w:p w14:paraId="3220EA4A" w14:textId="74D7B614" w:rsidR="003E028D" w:rsidRPr="003E028D" w:rsidRDefault="003E028D" w:rsidP="003E028D">
            <w:pPr>
              <w:jc w:val="both"/>
              <w:rPr>
                <w:rFonts w:ascii="Garamond" w:hAnsi="Garamond"/>
                <w:sz w:val="24"/>
                <w:szCs w:val="24"/>
                <w:u w:val="single"/>
              </w:rPr>
            </w:pPr>
            <w:r w:rsidRPr="003E028D">
              <w:rPr>
                <w:rFonts w:ascii="Garamond" w:hAnsi="Garamond"/>
                <w:sz w:val="24"/>
                <w:szCs w:val="24"/>
              </w:rPr>
              <w:t>8</w:t>
            </w:r>
          </w:p>
        </w:tc>
        <w:tc>
          <w:tcPr>
            <w:tcW w:w="2126" w:type="dxa"/>
          </w:tcPr>
          <w:p w14:paraId="33C8EE14" w14:textId="17FA5C8D" w:rsidR="003E028D" w:rsidRPr="003E028D" w:rsidRDefault="003E028D" w:rsidP="003E028D">
            <w:pPr>
              <w:jc w:val="both"/>
              <w:rPr>
                <w:rFonts w:ascii="Garamond" w:hAnsi="Garamond"/>
                <w:sz w:val="24"/>
                <w:szCs w:val="24"/>
                <w:u w:val="single"/>
              </w:rPr>
            </w:pPr>
            <w:r w:rsidRPr="003E028D">
              <w:rPr>
                <w:rFonts w:ascii="Garamond" w:hAnsi="Garamond"/>
                <w:sz w:val="24"/>
                <w:szCs w:val="24"/>
              </w:rPr>
              <w:t>9</w:t>
            </w:r>
          </w:p>
        </w:tc>
        <w:tc>
          <w:tcPr>
            <w:tcW w:w="2017" w:type="dxa"/>
          </w:tcPr>
          <w:p w14:paraId="3E623CE6" w14:textId="4B47EF1A" w:rsidR="003E028D" w:rsidRPr="003E028D" w:rsidRDefault="003E028D" w:rsidP="003E028D">
            <w:pPr>
              <w:jc w:val="both"/>
              <w:rPr>
                <w:rFonts w:ascii="Garamond" w:hAnsi="Garamond"/>
                <w:sz w:val="24"/>
                <w:szCs w:val="24"/>
                <w:u w:val="single"/>
              </w:rPr>
            </w:pPr>
            <w:r w:rsidRPr="003E028D">
              <w:rPr>
                <w:rFonts w:ascii="Garamond" w:hAnsi="Garamond"/>
                <w:sz w:val="24"/>
                <w:szCs w:val="24"/>
              </w:rPr>
              <w:t>7</w:t>
            </w:r>
          </w:p>
        </w:tc>
      </w:tr>
      <w:tr w:rsidR="003E028D" w:rsidRPr="003E028D" w14:paraId="584A779C" w14:textId="77777777" w:rsidTr="003E028D">
        <w:trPr>
          <w:trHeight w:val="288"/>
        </w:trPr>
        <w:tc>
          <w:tcPr>
            <w:tcW w:w="2972" w:type="dxa"/>
          </w:tcPr>
          <w:p w14:paraId="210E1798" w14:textId="77777777" w:rsidR="003E028D" w:rsidRDefault="003E028D" w:rsidP="003E028D">
            <w:pPr>
              <w:jc w:val="both"/>
              <w:rPr>
                <w:rFonts w:ascii="Garamond" w:hAnsi="Garamond"/>
                <w:sz w:val="24"/>
                <w:szCs w:val="24"/>
              </w:rPr>
            </w:pPr>
            <w:r w:rsidRPr="003E028D">
              <w:rPr>
                <w:rFonts w:ascii="Garamond" w:hAnsi="Garamond"/>
                <w:sz w:val="24"/>
                <w:szCs w:val="24"/>
              </w:rPr>
              <w:t xml:space="preserve">Misc </w:t>
            </w:r>
          </w:p>
          <w:p w14:paraId="2917DD0F" w14:textId="45868226" w:rsidR="003E028D" w:rsidRPr="003E028D" w:rsidRDefault="003E028D" w:rsidP="003E028D">
            <w:pPr>
              <w:jc w:val="both"/>
              <w:rPr>
                <w:rFonts w:ascii="Garamond" w:hAnsi="Garamond"/>
                <w:sz w:val="24"/>
                <w:szCs w:val="24"/>
                <w:u w:val="single"/>
              </w:rPr>
            </w:pPr>
          </w:p>
        </w:tc>
        <w:tc>
          <w:tcPr>
            <w:tcW w:w="1985" w:type="dxa"/>
          </w:tcPr>
          <w:p w14:paraId="13885840" w14:textId="129EADB0" w:rsidR="003E028D" w:rsidRPr="003E028D" w:rsidRDefault="003E028D" w:rsidP="003E028D">
            <w:pPr>
              <w:jc w:val="both"/>
              <w:rPr>
                <w:rFonts w:ascii="Garamond" w:hAnsi="Garamond"/>
                <w:sz w:val="24"/>
                <w:szCs w:val="24"/>
                <w:u w:val="single"/>
              </w:rPr>
            </w:pPr>
            <w:r w:rsidRPr="003E028D">
              <w:rPr>
                <w:rFonts w:ascii="Garamond" w:hAnsi="Garamond"/>
                <w:sz w:val="24"/>
                <w:szCs w:val="24"/>
              </w:rPr>
              <w:t>1</w:t>
            </w:r>
          </w:p>
        </w:tc>
        <w:tc>
          <w:tcPr>
            <w:tcW w:w="2126" w:type="dxa"/>
          </w:tcPr>
          <w:p w14:paraId="70AE53E2" w14:textId="1D66A50F" w:rsidR="003E028D" w:rsidRPr="003E028D" w:rsidRDefault="003E028D" w:rsidP="003E028D">
            <w:pPr>
              <w:jc w:val="both"/>
              <w:rPr>
                <w:rFonts w:ascii="Garamond" w:hAnsi="Garamond"/>
                <w:sz w:val="24"/>
                <w:szCs w:val="24"/>
                <w:u w:val="single"/>
              </w:rPr>
            </w:pPr>
            <w:r w:rsidRPr="003E028D">
              <w:rPr>
                <w:rFonts w:ascii="Garamond" w:hAnsi="Garamond"/>
                <w:sz w:val="24"/>
                <w:szCs w:val="24"/>
              </w:rPr>
              <w:t>1</w:t>
            </w:r>
          </w:p>
        </w:tc>
        <w:tc>
          <w:tcPr>
            <w:tcW w:w="2017" w:type="dxa"/>
          </w:tcPr>
          <w:p w14:paraId="6AD4EDA0" w14:textId="24429B1C" w:rsidR="003E028D" w:rsidRPr="003E028D" w:rsidRDefault="003E028D" w:rsidP="003E028D">
            <w:pPr>
              <w:jc w:val="both"/>
              <w:rPr>
                <w:rFonts w:ascii="Garamond" w:hAnsi="Garamond"/>
                <w:sz w:val="24"/>
                <w:szCs w:val="24"/>
                <w:u w:val="single"/>
              </w:rPr>
            </w:pPr>
            <w:r w:rsidRPr="003E028D">
              <w:rPr>
                <w:rFonts w:ascii="Garamond" w:hAnsi="Garamond"/>
                <w:sz w:val="24"/>
                <w:szCs w:val="24"/>
              </w:rPr>
              <w:t xml:space="preserve"> </w:t>
            </w:r>
          </w:p>
        </w:tc>
      </w:tr>
      <w:tr w:rsidR="003E028D" w:rsidRPr="003E028D" w14:paraId="6DA47D77" w14:textId="77777777" w:rsidTr="003E028D">
        <w:trPr>
          <w:trHeight w:val="272"/>
        </w:trPr>
        <w:tc>
          <w:tcPr>
            <w:tcW w:w="2972" w:type="dxa"/>
          </w:tcPr>
          <w:p w14:paraId="423FBC29" w14:textId="77777777" w:rsidR="003E028D" w:rsidRDefault="003E028D" w:rsidP="003E028D">
            <w:pPr>
              <w:jc w:val="both"/>
              <w:rPr>
                <w:rFonts w:ascii="Garamond" w:hAnsi="Garamond"/>
                <w:sz w:val="24"/>
                <w:szCs w:val="24"/>
              </w:rPr>
            </w:pPr>
            <w:r w:rsidRPr="003E028D">
              <w:rPr>
                <w:rFonts w:ascii="Garamond" w:hAnsi="Garamond"/>
                <w:sz w:val="24"/>
                <w:szCs w:val="24"/>
              </w:rPr>
              <w:t>Solicitor Act *</w:t>
            </w:r>
          </w:p>
          <w:p w14:paraId="2D44BF85" w14:textId="22260B53" w:rsidR="003E028D" w:rsidRPr="003E028D" w:rsidRDefault="003E028D" w:rsidP="003E028D">
            <w:pPr>
              <w:jc w:val="both"/>
              <w:rPr>
                <w:rFonts w:ascii="Garamond" w:hAnsi="Garamond"/>
                <w:sz w:val="24"/>
                <w:szCs w:val="24"/>
                <w:u w:val="single"/>
              </w:rPr>
            </w:pPr>
          </w:p>
        </w:tc>
        <w:tc>
          <w:tcPr>
            <w:tcW w:w="1985" w:type="dxa"/>
          </w:tcPr>
          <w:p w14:paraId="41742516" w14:textId="4E13B702" w:rsidR="003E028D" w:rsidRPr="003E028D" w:rsidRDefault="003E028D" w:rsidP="003E028D">
            <w:pPr>
              <w:jc w:val="both"/>
              <w:rPr>
                <w:rFonts w:ascii="Garamond" w:hAnsi="Garamond"/>
                <w:sz w:val="24"/>
                <w:szCs w:val="24"/>
                <w:u w:val="single"/>
              </w:rPr>
            </w:pPr>
            <w:r w:rsidRPr="003E028D">
              <w:rPr>
                <w:rFonts w:ascii="Garamond" w:hAnsi="Garamond"/>
                <w:sz w:val="24"/>
                <w:szCs w:val="24"/>
              </w:rPr>
              <w:t>16</w:t>
            </w:r>
          </w:p>
        </w:tc>
        <w:tc>
          <w:tcPr>
            <w:tcW w:w="2126" w:type="dxa"/>
          </w:tcPr>
          <w:p w14:paraId="1FBF99AE" w14:textId="46347415" w:rsidR="003E028D" w:rsidRPr="003E028D" w:rsidRDefault="003E028D" w:rsidP="003E028D">
            <w:pPr>
              <w:jc w:val="both"/>
              <w:rPr>
                <w:rFonts w:ascii="Garamond" w:hAnsi="Garamond"/>
                <w:sz w:val="24"/>
                <w:szCs w:val="24"/>
                <w:u w:val="single"/>
              </w:rPr>
            </w:pPr>
            <w:r w:rsidRPr="003E028D">
              <w:rPr>
                <w:rFonts w:ascii="Garamond" w:hAnsi="Garamond"/>
                <w:sz w:val="24"/>
                <w:szCs w:val="24"/>
              </w:rPr>
              <w:t>20</w:t>
            </w:r>
          </w:p>
        </w:tc>
        <w:tc>
          <w:tcPr>
            <w:tcW w:w="2017" w:type="dxa"/>
          </w:tcPr>
          <w:p w14:paraId="14777624" w14:textId="340EAA9B" w:rsidR="003E028D" w:rsidRPr="003E028D" w:rsidRDefault="003E028D" w:rsidP="003E028D">
            <w:pPr>
              <w:jc w:val="both"/>
              <w:rPr>
                <w:rFonts w:ascii="Garamond" w:hAnsi="Garamond"/>
                <w:sz w:val="24"/>
                <w:szCs w:val="24"/>
                <w:u w:val="single"/>
              </w:rPr>
            </w:pPr>
            <w:r w:rsidRPr="003E028D">
              <w:rPr>
                <w:rFonts w:ascii="Garamond" w:hAnsi="Garamond"/>
                <w:sz w:val="24"/>
                <w:szCs w:val="24"/>
              </w:rPr>
              <w:t>14</w:t>
            </w:r>
          </w:p>
        </w:tc>
      </w:tr>
      <w:tr w:rsidR="003E028D" w:rsidRPr="003E028D" w14:paraId="61B24068" w14:textId="77777777" w:rsidTr="003E028D">
        <w:trPr>
          <w:trHeight w:val="288"/>
        </w:trPr>
        <w:tc>
          <w:tcPr>
            <w:tcW w:w="2972" w:type="dxa"/>
          </w:tcPr>
          <w:p w14:paraId="1746AF3B" w14:textId="77777777" w:rsidR="003E028D" w:rsidRDefault="003E028D" w:rsidP="003E028D">
            <w:pPr>
              <w:jc w:val="both"/>
              <w:rPr>
                <w:rFonts w:ascii="Garamond" w:hAnsi="Garamond"/>
                <w:sz w:val="24"/>
                <w:szCs w:val="24"/>
              </w:rPr>
            </w:pPr>
            <w:r w:rsidRPr="003E028D">
              <w:rPr>
                <w:rFonts w:ascii="Garamond" w:hAnsi="Garamond"/>
                <w:sz w:val="24"/>
                <w:szCs w:val="24"/>
              </w:rPr>
              <w:t xml:space="preserve">Trust </w:t>
            </w:r>
          </w:p>
          <w:p w14:paraId="5B4ADDBB" w14:textId="070EB5C2" w:rsidR="003E028D" w:rsidRPr="003E028D" w:rsidRDefault="003E028D" w:rsidP="003E028D">
            <w:pPr>
              <w:jc w:val="both"/>
              <w:rPr>
                <w:rFonts w:ascii="Garamond" w:hAnsi="Garamond"/>
                <w:sz w:val="24"/>
                <w:szCs w:val="24"/>
              </w:rPr>
            </w:pPr>
          </w:p>
        </w:tc>
        <w:tc>
          <w:tcPr>
            <w:tcW w:w="1985" w:type="dxa"/>
          </w:tcPr>
          <w:p w14:paraId="622931FD" w14:textId="5A5F8B26" w:rsidR="003E028D" w:rsidRPr="003E028D" w:rsidRDefault="003E028D" w:rsidP="003E028D">
            <w:pPr>
              <w:jc w:val="both"/>
              <w:rPr>
                <w:rFonts w:ascii="Garamond" w:hAnsi="Garamond"/>
                <w:sz w:val="24"/>
                <w:szCs w:val="24"/>
              </w:rPr>
            </w:pPr>
            <w:r w:rsidRPr="003E028D">
              <w:rPr>
                <w:rFonts w:ascii="Garamond" w:hAnsi="Garamond"/>
                <w:sz w:val="24"/>
                <w:szCs w:val="24"/>
              </w:rPr>
              <w:t>3</w:t>
            </w:r>
          </w:p>
        </w:tc>
        <w:tc>
          <w:tcPr>
            <w:tcW w:w="2126" w:type="dxa"/>
          </w:tcPr>
          <w:p w14:paraId="616F95B1" w14:textId="1E6A0913" w:rsidR="003E028D" w:rsidRPr="003E028D" w:rsidRDefault="003E028D" w:rsidP="003E028D">
            <w:pPr>
              <w:jc w:val="both"/>
              <w:rPr>
                <w:rFonts w:ascii="Garamond" w:hAnsi="Garamond"/>
                <w:sz w:val="24"/>
                <w:szCs w:val="24"/>
              </w:rPr>
            </w:pPr>
            <w:r w:rsidRPr="003E028D">
              <w:rPr>
                <w:rFonts w:ascii="Garamond" w:hAnsi="Garamond"/>
                <w:sz w:val="24"/>
                <w:szCs w:val="24"/>
              </w:rPr>
              <w:t>3</w:t>
            </w:r>
          </w:p>
        </w:tc>
        <w:tc>
          <w:tcPr>
            <w:tcW w:w="2017" w:type="dxa"/>
          </w:tcPr>
          <w:p w14:paraId="10CE9EE4" w14:textId="64EAD054" w:rsidR="003E028D" w:rsidRPr="003E028D" w:rsidRDefault="003E028D" w:rsidP="003E028D">
            <w:pPr>
              <w:jc w:val="both"/>
              <w:rPr>
                <w:rFonts w:ascii="Garamond" w:hAnsi="Garamond"/>
                <w:sz w:val="24"/>
                <w:szCs w:val="24"/>
              </w:rPr>
            </w:pPr>
            <w:r w:rsidRPr="003E028D">
              <w:rPr>
                <w:rFonts w:ascii="Garamond" w:hAnsi="Garamond"/>
                <w:sz w:val="24"/>
                <w:szCs w:val="24"/>
              </w:rPr>
              <w:t>1</w:t>
            </w:r>
          </w:p>
        </w:tc>
      </w:tr>
      <w:tr w:rsidR="003E028D" w:rsidRPr="003E028D" w14:paraId="01FB3135" w14:textId="77777777" w:rsidTr="003E028D">
        <w:trPr>
          <w:trHeight w:val="288"/>
        </w:trPr>
        <w:tc>
          <w:tcPr>
            <w:tcW w:w="2972" w:type="dxa"/>
          </w:tcPr>
          <w:p w14:paraId="741AD693" w14:textId="77777777" w:rsidR="003E028D" w:rsidRPr="00E57388" w:rsidRDefault="00E57388" w:rsidP="003E028D">
            <w:pPr>
              <w:jc w:val="both"/>
              <w:rPr>
                <w:rFonts w:ascii="Garamond" w:hAnsi="Garamond"/>
                <w:b/>
                <w:bCs/>
                <w:sz w:val="24"/>
                <w:szCs w:val="24"/>
              </w:rPr>
            </w:pPr>
            <w:r w:rsidRPr="00E57388">
              <w:rPr>
                <w:rFonts w:ascii="Garamond" w:hAnsi="Garamond"/>
                <w:b/>
                <w:bCs/>
                <w:sz w:val="24"/>
                <w:szCs w:val="24"/>
              </w:rPr>
              <w:t>T</w:t>
            </w:r>
            <w:r w:rsidR="003E028D" w:rsidRPr="00E57388">
              <w:rPr>
                <w:rFonts w:ascii="Garamond" w:hAnsi="Garamond"/>
                <w:b/>
                <w:bCs/>
                <w:sz w:val="24"/>
                <w:szCs w:val="24"/>
              </w:rPr>
              <w:t xml:space="preserve">otal </w:t>
            </w:r>
          </w:p>
          <w:p w14:paraId="6E2163C7" w14:textId="299CD7EA" w:rsidR="00E57388" w:rsidRPr="00E57388" w:rsidRDefault="00E57388" w:rsidP="003E028D">
            <w:pPr>
              <w:jc w:val="both"/>
              <w:rPr>
                <w:rFonts w:ascii="Garamond" w:hAnsi="Garamond"/>
                <w:b/>
                <w:bCs/>
                <w:sz w:val="24"/>
                <w:szCs w:val="24"/>
              </w:rPr>
            </w:pPr>
          </w:p>
        </w:tc>
        <w:tc>
          <w:tcPr>
            <w:tcW w:w="1985" w:type="dxa"/>
          </w:tcPr>
          <w:p w14:paraId="11FDCD52" w14:textId="2C9540DB" w:rsidR="003E028D" w:rsidRPr="00E57388" w:rsidRDefault="003E028D" w:rsidP="003E028D">
            <w:pPr>
              <w:jc w:val="both"/>
              <w:rPr>
                <w:rFonts w:ascii="Garamond" w:hAnsi="Garamond"/>
                <w:b/>
                <w:bCs/>
                <w:sz w:val="24"/>
                <w:szCs w:val="24"/>
              </w:rPr>
            </w:pPr>
            <w:r w:rsidRPr="00E57388">
              <w:rPr>
                <w:rFonts w:ascii="Garamond" w:hAnsi="Garamond"/>
                <w:b/>
                <w:bCs/>
                <w:sz w:val="24"/>
                <w:szCs w:val="24"/>
              </w:rPr>
              <w:t>58</w:t>
            </w:r>
          </w:p>
        </w:tc>
        <w:tc>
          <w:tcPr>
            <w:tcW w:w="2126" w:type="dxa"/>
          </w:tcPr>
          <w:p w14:paraId="50BA785D" w14:textId="74E5D0DF" w:rsidR="003E028D" w:rsidRPr="00E57388" w:rsidRDefault="003E028D" w:rsidP="003E028D">
            <w:pPr>
              <w:jc w:val="both"/>
              <w:rPr>
                <w:rFonts w:ascii="Garamond" w:hAnsi="Garamond"/>
                <w:b/>
                <w:bCs/>
                <w:sz w:val="24"/>
                <w:szCs w:val="24"/>
              </w:rPr>
            </w:pPr>
            <w:r w:rsidRPr="00E57388">
              <w:rPr>
                <w:rFonts w:ascii="Garamond" w:hAnsi="Garamond"/>
                <w:b/>
                <w:bCs/>
                <w:sz w:val="24"/>
                <w:szCs w:val="24"/>
              </w:rPr>
              <w:t>64</w:t>
            </w:r>
          </w:p>
        </w:tc>
        <w:tc>
          <w:tcPr>
            <w:tcW w:w="2017" w:type="dxa"/>
          </w:tcPr>
          <w:p w14:paraId="1CA85CC2" w14:textId="2F8AE782" w:rsidR="003E028D" w:rsidRPr="00E57388" w:rsidRDefault="003E028D" w:rsidP="003E028D">
            <w:pPr>
              <w:jc w:val="both"/>
              <w:rPr>
                <w:rFonts w:ascii="Garamond" w:hAnsi="Garamond"/>
                <w:b/>
                <w:bCs/>
                <w:sz w:val="24"/>
                <w:szCs w:val="24"/>
              </w:rPr>
            </w:pPr>
            <w:r w:rsidRPr="00E57388">
              <w:rPr>
                <w:rFonts w:ascii="Garamond" w:hAnsi="Garamond"/>
                <w:b/>
                <w:bCs/>
                <w:sz w:val="24"/>
                <w:szCs w:val="24"/>
              </w:rPr>
              <w:t>42</w:t>
            </w:r>
          </w:p>
        </w:tc>
      </w:tr>
    </w:tbl>
    <w:p w14:paraId="1D427790" w14:textId="77777777" w:rsidR="00913632" w:rsidRPr="003E028D" w:rsidRDefault="00913632" w:rsidP="00286E0F">
      <w:pPr>
        <w:jc w:val="both"/>
        <w:rPr>
          <w:rFonts w:ascii="Garamond" w:hAnsi="Garamond"/>
          <w:sz w:val="24"/>
          <w:szCs w:val="24"/>
          <w:u w:val="single"/>
        </w:rPr>
      </w:pPr>
    </w:p>
    <w:p w14:paraId="1274A574" w14:textId="77777777" w:rsidR="00E57388" w:rsidRPr="00E57388" w:rsidRDefault="00E57388" w:rsidP="00E57388">
      <w:pPr>
        <w:rPr>
          <w:rFonts w:ascii="Garamond" w:hAnsi="Garamond"/>
          <w:sz w:val="24"/>
          <w:szCs w:val="24"/>
        </w:rPr>
      </w:pPr>
      <w:r w:rsidRPr="00E57388">
        <w:rPr>
          <w:rFonts w:ascii="Garamond" w:hAnsi="Garamond"/>
          <w:sz w:val="24"/>
          <w:szCs w:val="24"/>
        </w:rPr>
        <w:t xml:space="preserve">* Includes if appropriate the individual personal estates of the partners of the firm </w:t>
      </w:r>
    </w:p>
    <w:p w14:paraId="6321BACF" w14:textId="77777777" w:rsidR="00913632" w:rsidRPr="005913B1" w:rsidRDefault="00913632" w:rsidP="00286E0F">
      <w:pPr>
        <w:jc w:val="both"/>
        <w:rPr>
          <w:rFonts w:ascii="Garamond" w:hAnsi="Garamond"/>
          <w:sz w:val="24"/>
          <w:szCs w:val="24"/>
          <w:u w:val="single"/>
        </w:rPr>
      </w:pPr>
    </w:p>
    <w:p w14:paraId="4E1DFB63" w14:textId="77777777" w:rsidR="008B302A" w:rsidRPr="005913B1" w:rsidRDefault="008B302A" w:rsidP="00286E0F">
      <w:pPr>
        <w:jc w:val="both"/>
        <w:rPr>
          <w:rFonts w:ascii="Garamond" w:hAnsi="Garamond"/>
          <w:sz w:val="24"/>
          <w:szCs w:val="24"/>
          <w:u w:val="single"/>
        </w:rPr>
      </w:pPr>
      <w:r w:rsidRPr="005913B1">
        <w:rPr>
          <w:rFonts w:ascii="Garamond" w:hAnsi="Garamond"/>
          <w:sz w:val="24"/>
          <w:szCs w:val="24"/>
          <w:u w:val="single"/>
        </w:rPr>
        <w:t>2. What are your views on the proposals as set out in Part 1 of the Bill relating to the appointment of a judicial factor?</w:t>
      </w:r>
    </w:p>
    <w:p w14:paraId="2801850A" w14:textId="73050FE0" w:rsidR="008B302A" w:rsidRPr="005913B1" w:rsidRDefault="008B302A" w:rsidP="00286E0F">
      <w:pPr>
        <w:jc w:val="both"/>
        <w:rPr>
          <w:rFonts w:ascii="Garamond" w:hAnsi="Garamond"/>
          <w:b/>
          <w:bCs/>
          <w:sz w:val="24"/>
          <w:szCs w:val="24"/>
        </w:rPr>
      </w:pPr>
      <w:r w:rsidRPr="005913B1">
        <w:rPr>
          <w:rFonts w:ascii="Garamond" w:hAnsi="Garamond"/>
          <w:b/>
          <w:bCs/>
          <w:sz w:val="24"/>
          <w:szCs w:val="24"/>
        </w:rPr>
        <w:t xml:space="preserve">Information: </w:t>
      </w:r>
    </w:p>
    <w:p w14:paraId="6F41DD61"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Part 1 of the Bill includes the following proposals:</w:t>
      </w:r>
    </w:p>
    <w:p w14:paraId="4CD6B8F7"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lastRenderedPageBreak/>
        <w:t>•</w:t>
      </w:r>
      <w:r w:rsidRPr="00286E0F">
        <w:rPr>
          <w:rFonts w:ascii="Garamond" w:hAnsi="Garamond"/>
          <w:i/>
          <w:iCs/>
          <w:sz w:val="24"/>
          <w:szCs w:val="24"/>
        </w:rPr>
        <w:tab/>
        <w:t>a discretion for the court to appoint a judicial factor to manage an estate where:</w:t>
      </w:r>
    </w:p>
    <w:p w14:paraId="6482B6C4"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 it is not, “possible, practicable or sensible” for the person who would otherwise do it to undertake that role; and/or</w:t>
      </w:r>
    </w:p>
    <w:p w14:paraId="05AA71A5"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 it would be “to the advantage of” the estate (sections 1 and 3)</w:t>
      </w:r>
    </w:p>
    <w:p w14:paraId="76D684C1"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to be appointed by the court as a judicial factor, the main qualification required is that the court considers the person “suitable” for that role (section 4)</w:t>
      </w:r>
    </w:p>
    <w:p w14:paraId="1EAFDAB3"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it would be possible to appoint an ‘interim judicial factor’ (a temporary one) who, for the duration of their appointment, would usually have the same powers and duties as a permanent judicial factor (section 2)</w:t>
      </w:r>
    </w:p>
    <w:p w14:paraId="5B65BECC"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when appointing a judicial factor, the court may only require a ‘bond of caution’ (pronounced cay-shun) in exceptional circumstances – a bond of caution is a type of insurance policy relating to the judicial factor’s management of the estate (section 5)</w:t>
      </w:r>
    </w:p>
    <w:p w14:paraId="695573AB"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notice of the appointment of a judicial factor must be registered in an existing public register, the Register of Inhibitions (section 6)</w:t>
      </w:r>
    </w:p>
    <w:p w14:paraId="0E4365FA"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judicial factors are to be paid for their work out of the estate, according to rates fixed by an existing official, the Accountant of Court (section 9).</w:t>
      </w:r>
    </w:p>
    <w:p w14:paraId="4AABEF27" w14:textId="3A9B29A2" w:rsidR="008B302A" w:rsidRPr="005913B1" w:rsidRDefault="007E4073" w:rsidP="00286E0F">
      <w:pPr>
        <w:jc w:val="both"/>
        <w:rPr>
          <w:rFonts w:ascii="Garamond" w:hAnsi="Garamond"/>
          <w:sz w:val="24"/>
          <w:szCs w:val="24"/>
        </w:rPr>
      </w:pPr>
      <w:r w:rsidRPr="005913B1">
        <w:rPr>
          <w:rFonts w:ascii="Garamond" w:hAnsi="Garamond"/>
          <w:sz w:val="24"/>
          <w:szCs w:val="24"/>
        </w:rPr>
        <w:t>As noted in our response to the Scottish Government’s earlier consultation, we agree that there is value in the courts having concurrent jurisdiction (but we would favour the Court of Session’s jurisdiction being the Outer House in the first instance rather than the Inner House). We appreciate that there is a trend in favour of moving legal business to the sheriff court but that is not always justified and there are also resource implications to be considered in this area.</w:t>
      </w:r>
    </w:p>
    <w:p w14:paraId="7C9957B0" w14:textId="4286837A" w:rsidR="004043C3" w:rsidRPr="005913B1" w:rsidRDefault="002F259D" w:rsidP="00286E0F">
      <w:pPr>
        <w:jc w:val="both"/>
        <w:rPr>
          <w:rFonts w:ascii="Garamond" w:hAnsi="Garamond"/>
          <w:sz w:val="24"/>
          <w:szCs w:val="24"/>
        </w:rPr>
      </w:pPr>
      <w:r w:rsidRPr="005913B1">
        <w:rPr>
          <w:rFonts w:ascii="Garamond" w:hAnsi="Garamond"/>
          <w:sz w:val="24"/>
          <w:szCs w:val="24"/>
        </w:rPr>
        <w:t xml:space="preserve">For section 1(5)(b)(iii), we agree with the inclusion of place of business but wonder whether </w:t>
      </w:r>
      <w:r w:rsidR="00B26CB8" w:rsidRPr="005913B1">
        <w:rPr>
          <w:rFonts w:ascii="Garamond" w:hAnsi="Garamond"/>
          <w:sz w:val="24"/>
          <w:szCs w:val="24"/>
        </w:rPr>
        <w:t xml:space="preserve">a non-natural person’s registered office should be included as an additional category or at least </w:t>
      </w:r>
      <w:r w:rsidR="009C318D">
        <w:rPr>
          <w:rFonts w:ascii="Garamond" w:hAnsi="Garamond"/>
          <w:sz w:val="24"/>
          <w:szCs w:val="24"/>
        </w:rPr>
        <w:t xml:space="preserve">specified as being </w:t>
      </w:r>
      <w:r w:rsidR="00B26CB8" w:rsidRPr="005913B1">
        <w:rPr>
          <w:rFonts w:ascii="Garamond" w:hAnsi="Garamond"/>
          <w:sz w:val="24"/>
          <w:szCs w:val="24"/>
        </w:rPr>
        <w:t>included within the meaning of place of business</w:t>
      </w:r>
      <w:r w:rsidR="009C318D">
        <w:rPr>
          <w:rFonts w:ascii="Garamond" w:hAnsi="Garamond"/>
          <w:sz w:val="24"/>
          <w:szCs w:val="24"/>
        </w:rPr>
        <w:t xml:space="preserve"> </w:t>
      </w:r>
      <w:r w:rsidR="00C64D86">
        <w:rPr>
          <w:rFonts w:ascii="Garamond" w:hAnsi="Garamond"/>
          <w:sz w:val="24"/>
          <w:szCs w:val="24"/>
        </w:rPr>
        <w:t xml:space="preserve">in this context </w:t>
      </w:r>
      <w:r w:rsidR="009C318D">
        <w:rPr>
          <w:rFonts w:ascii="Garamond" w:hAnsi="Garamond"/>
          <w:sz w:val="24"/>
          <w:szCs w:val="24"/>
        </w:rPr>
        <w:t>(as a registered office may not in fact be a place of business</w:t>
      </w:r>
      <w:r w:rsidR="00C64D86">
        <w:rPr>
          <w:rFonts w:ascii="Garamond" w:hAnsi="Garamond"/>
          <w:sz w:val="24"/>
          <w:szCs w:val="24"/>
        </w:rPr>
        <w:t xml:space="preserve"> as such</w:t>
      </w:r>
      <w:r w:rsidR="009C318D">
        <w:rPr>
          <w:rFonts w:ascii="Garamond" w:hAnsi="Garamond"/>
          <w:sz w:val="24"/>
          <w:szCs w:val="24"/>
        </w:rPr>
        <w:t>)</w:t>
      </w:r>
      <w:r w:rsidR="00B26CB8" w:rsidRPr="005913B1">
        <w:rPr>
          <w:rFonts w:ascii="Garamond" w:hAnsi="Garamond"/>
          <w:sz w:val="24"/>
          <w:szCs w:val="24"/>
        </w:rPr>
        <w:t>.</w:t>
      </w:r>
    </w:p>
    <w:p w14:paraId="1C46DE74" w14:textId="24C773BA" w:rsidR="00E2417D" w:rsidRPr="005913B1" w:rsidRDefault="007E1E52" w:rsidP="00286E0F">
      <w:pPr>
        <w:jc w:val="both"/>
        <w:rPr>
          <w:rFonts w:ascii="Garamond" w:hAnsi="Garamond"/>
          <w:sz w:val="24"/>
          <w:szCs w:val="24"/>
        </w:rPr>
      </w:pPr>
      <w:r w:rsidRPr="005913B1">
        <w:rPr>
          <w:rFonts w:ascii="Garamond" w:hAnsi="Garamond"/>
          <w:sz w:val="24"/>
          <w:szCs w:val="24"/>
        </w:rPr>
        <w:t>Also with reference to courts, t</w:t>
      </w:r>
      <w:r w:rsidR="00E2417D" w:rsidRPr="005913B1">
        <w:rPr>
          <w:rFonts w:ascii="Garamond" w:hAnsi="Garamond"/>
          <w:sz w:val="24"/>
          <w:szCs w:val="24"/>
        </w:rPr>
        <w:t>here could be a provision for transfer of the matter to a court in a different location, on cause shown.</w:t>
      </w:r>
    </w:p>
    <w:p w14:paraId="39E6EE99" w14:textId="1A0F32CA" w:rsidR="007E4073" w:rsidRPr="005913B1" w:rsidRDefault="007E4073" w:rsidP="00286E0F">
      <w:pPr>
        <w:jc w:val="both"/>
        <w:rPr>
          <w:rFonts w:ascii="Garamond" w:hAnsi="Garamond"/>
          <w:sz w:val="24"/>
          <w:szCs w:val="24"/>
        </w:rPr>
      </w:pPr>
      <w:r w:rsidRPr="005913B1">
        <w:rPr>
          <w:rFonts w:ascii="Garamond" w:hAnsi="Garamond"/>
          <w:sz w:val="24"/>
          <w:szCs w:val="24"/>
        </w:rPr>
        <w:t>In section 3(1)(b)(</w:t>
      </w:r>
      <w:proofErr w:type="spellStart"/>
      <w:r w:rsidRPr="005913B1">
        <w:rPr>
          <w:rFonts w:ascii="Garamond" w:hAnsi="Garamond"/>
          <w:sz w:val="24"/>
          <w:szCs w:val="24"/>
        </w:rPr>
        <w:t>i</w:t>
      </w:r>
      <w:proofErr w:type="spellEnd"/>
      <w:r w:rsidRPr="005913B1">
        <w:rPr>
          <w:rFonts w:ascii="Garamond" w:hAnsi="Garamond"/>
          <w:sz w:val="24"/>
          <w:szCs w:val="24"/>
        </w:rPr>
        <w:t>)</w:t>
      </w:r>
      <w:r w:rsidR="007961CD" w:rsidRPr="005913B1">
        <w:rPr>
          <w:rFonts w:ascii="Garamond" w:hAnsi="Garamond"/>
          <w:sz w:val="24"/>
          <w:szCs w:val="24"/>
        </w:rPr>
        <w:t>,</w:t>
      </w:r>
      <w:r w:rsidRPr="005913B1">
        <w:rPr>
          <w:rFonts w:ascii="Garamond" w:hAnsi="Garamond"/>
          <w:sz w:val="24"/>
          <w:szCs w:val="24"/>
        </w:rPr>
        <w:t xml:space="preserve"> the </w:t>
      </w:r>
      <w:r w:rsidR="00746A58" w:rsidRPr="005913B1">
        <w:rPr>
          <w:rFonts w:ascii="Garamond" w:hAnsi="Garamond"/>
          <w:sz w:val="24"/>
          <w:szCs w:val="24"/>
        </w:rPr>
        <w:t>term “</w:t>
      </w:r>
      <w:r w:rsidRPr="005913B1">
        <w:rPr>
          <w:rFonts w:ascii="Garamond" w:hAnsi="Garamond"/>
          <w:sz w:val="24"/>
          <w:szCs w:val="24"/>
        </w:rPr>
        <w:t>sensible</w:t>
      </w:r>
      <w:r w:rsidR="00746A58" w:rsidRPr="005913B1">
        <w:rPr>
          <w:rFonts w:ascii="Garamond" w:hAnsi="Garamond"/>
          <w:sz w:val="24"/>
          <w:szCs w:val="24"/>
        </w:rPr>
        <w:t>”</w:t>
      </w:r>
      <w:r w:rsidRPr="005913B1">
        <w:rPr>
          <w:rFonts w:ascii="Garamond" w:hAnsi="Garamond"/>
          <w:sz w:val="24"/>
          <w:szCs w:val="24"/>
        </w:rPr>
        <w:t xml:space="preserve"> is am</w:t>
      </w:r>
      <w:r w:rsidR="00746A58" w:rsidRPr="005913B1">
        <w:rPr>
          <w:rFonts w:ascii="Garamond" w:hAnsi="Garamond"/>
          <w:sz w:val="24"/>
          <w:szCs w:val="24"/>
        </w:rPr>
        <w:t>biguous and implies a value judgement. Although we realise there are potentially issues with alternative terms, perhaps “reasonable” or “appropriate” would be preferable. If a word with a more subjective meaning such as “sensible” is used, it may be desirable to specify that it is to be sensible in the court’s view</w:t>
      </w:r>
      <w:r w:rsidR="007961CD" w:rsidRPr="005913B1">
        <w:rPr>
          <w:rFonts w:ascii="Garamond" w:hAnsi="Garamond"/>
          <w:sz w:val="24"/>
          <w:szCs w:val="24"/>
        </w:rPr>
        <w:t>, for example</w:t>
      </w:r>
      <w:r w:rsidR="00746A58" w:rsidRPr="005913B1">
        <w:rPr>
          <w:rFonts w:ascii="Garamond" w:hAnsi="Garamond"/>
          <w:sz w:val="24"/>
          <w:szCs w:val="24"/>
        </w:rPr>
        <w:t>.</w:t>
      </w:r>
    </w:p>
    <w:p w14:paraId="71D14007" w14:textId="566CF671" w:rsidR="00731907" w:rsidRPr="005913B1" w:rsidRDefault="00A80D2D" w:rsidP="00286E0F">
      <w:pPr>
        <w:jc w:val="both"/>
        <w:rPr>
          <w:rFonts w:ascii="Garamond" w:hAnsi="Garamond"/>
          <w:sz w:val="24"/>
          <w:szCs w:val="24"/>
        </w:rPr>
      </w:pPr>
      <w:r w:rsidRPr="005913B1">
        <w:rPr>
          <w:rFonts w:ascii="Garamond" w:hAnsi="Garamond"/>
          <w:sz w:val="24"/>
          <w:szCs w:val="24"/>
        </w:rPr>
        <w:t xml:space="preserve">We </w:t>
      </w:r>
      <w:r w:rsidR="003F2E8D" w:rsidRPr="005913B1">
        <w:rPr>
          <w:rFonts w:ascii="Garamond" w:hAnsi="Garamond"/>
          <w:sz w:val="24"/>
          <w:szCs w:val="24"/>
        </w:rPr>
        <w:t xml:space="preserve">broadly </w:t>
      </w:r>
      <w:r w:rsidRPr="005913B1">
        <w:rPr>
          <w:rFonts w:ascii="Garamond" w:hAnsi="Garamond"/>
          <w:sz w:val="24"/>
          <w:szCs w:val="24"/>
        </w:rPr>
        <w:t xml:space="preserve">agree with </w:t>
      </w:r>
      <w:r w:rsidR="003F2E8D" w:rsidRPr="005913B1">
        <w:rPr>
          <w:rFonts w:ascii="Garamond" w:hAnsi="Garamond"/>
          <w:sz w:val="24"/>
          <w:szCs w:val="24"/>
        </w:rPr>
        <w:t>the</w:t>
      </w:r>
      <w:r w:rsidRPr="005913B1">
        <w:rPr>
          <w:rFonts w:ascii="Garamond" w:hAnsi="Garamond"/>
          <w:sz w:val="24"/>
          <w:szCs w:val="24"/>
        </w:rPr>
        <w:t xml:space="preserve"> </w:t>
      </w:r>
      <w:r w:rsidR="003F2E8D" w:rsidRPr="005913B1">
        <w:rPr>
          <w:rFonts w:ascii="Garamond" w:hAnsi="Garamond"/>
          <w:sz w:val="24"/>
          <w:szCs w:val="24"/>
        </w:rPr>
        <w:t>provisions on the finding of caution</w:t>
      </w:r>
      <w:r w:rsidRPr="005913B1">
        <w:rPr>
          <w:rFonts w:ascii="Garamond" w:hAnsi="Garamond"/>
          <w:sz w:val="24"/>
          <w:szCs w:val="24"/>
        </w:rPr>
        <w:t>. However, “exceptional circumstances”</w:t>
      </w:r>
      <w:r w:rsidR="0083773E" w:rsidRPr="005913B1">
        <w:rPr>
          <w:rFonts w:ascii="Garamond" w:hAnsi="Garamond"/>
          <w:sz w:val="24"/>
          <w:szCs w:val="24"/>
        </w:rPr>
        <w:t xml:space="preserve"> in s</w:t>
      </w:r>
      <w:r w:rsidR="00B0721F" w:rsidRPr="005913B1">
        <w:rPr>
          <w:rFonts w:ascii="Garamond" w:hAnsi="Garamond"/>
          <w:sz w:val="24"/>
          <w:szCs w:val="24"/>
        </w:rPr>
        <w:t>ection</w:t>
      </w:r>
      <w:r w:rsidR="0083773E" w:rsidRPr="005913B1">
        <w:rPr>
          <w:rFonts w:ascii="Garamond" w:hAnsi="Garamond"/>
          <w:sz w:val="24"/>
          <w:szCs w:val="24"/>
        </w:rPr>
        <w:t xml:space="preserve"> 5(2)</w:t>
      </w:r>
      <w:r w:rsidRPr="005913B1">
        <w:rPr>
          <w:rFonts w:ascii="Garamond" w:hAnsi="Garamond"/>
          <w:sz w:val="24"/>
          <w:szCs w:val="24"/>
        </w:rPr>
        <w:t xml:space="preserve"> is a very high threshold. </w:t>
      </w:r>
      <w:r w:rsidR="007961CD" w:rsidRPr="005913B1">
        <w:rPr>
          <w:rFonts w:ascii="Garamond" w:hAnsi="Garamond"/>
          <w:sz w:val="24"/>
          <w:szCs w:val="24"/>
        </w:rPr>
        <w:t>I</w:t>
      </w:r>
      <w:r w:rsidRPr="005913B1">
        <w:rPr>
          <w:rFonts w:ascii="Garamond" w:hAnsi="Garamond"/>
          <w:sz w:val="24"/>
          <w:szCs w:val="24"/>
        </w:rPr>
        <w:t xml:space="preserve">t </w:t>
      </w:r>
      <w:r w:rsidR="007961CD" w:rsidRPr="005913B1">
        <w:rPr>
          <w:rFonts w:ascii="Garamond" w:hAnsi="Garamond"/>
          <w:sz w:val="24"/>
          <w:szCs w:val="24"/>
        </w:rPr>
        <w:t xml:space="preserve">may </w:t>
      </w:r>
      <w:r w:rsidRPr="005913B1">
        <w:rPr>
          <w:rFonts w:ascii="Garamond" w:hAnsi="Garamond"/>
          <w:sz w:val="24"/>
          <w:szCs w:val="24"/>
        </w:rPr>
        <w:t>be more appropriate to specify that caution is to be provided where the particular appointment makes it “prudent” for it to be provided</w:t>
      </w:r>
      <w:r w:rsidR="007961CD" w:rsidRPr="005913B1">
        <w:rPr>
          <w:rFonts w:ascii="Garamond" w:hAnsi="Garamond"/>
          <w:sz w:val="24"/>
          <w:szCs w:val="24"/>
        </w:rPr>
        <w:t xml:space="preserve"> (or some equivalent to this).</w:t>
      </w:r>
      <w:r w:rsidRPr="005913B1">
        <w:rPr>
          <w:rFonts w:ascii="Garamond" w:hAnsi="Garamond"/>
          <w:sz w:val="24"/>
          <w:szCs w:val="24"/>
        </w:rPr>
        <w:t xml:space="preserve"> </w:t>
      </w:r>
      <w:r w:rsidR="00DB2313" w:rsidRPr="005913B1">
        <w:rPr>
          <w:rFonts w:ascii="Garamond" w:hAnsi="Garamond"/>
          <w:sz w:val="24"/>
          <w:szCs w:val="24"/>
        </w:rPr>
        <w:t>A</w:t>
      </w:r>
      <w:r w:rsidRPr="005913B1">
        <w:rPr>
          <w:rFonts w:ascii="Garamond" w:hAnsi="Garamond"/>
          <w:sz w:val="24"/>
          <w:szCs w:val="24"/>
        </w:rPr>
        <w:t xml:space="preserve"> wider understanding of “security” in this context </w:t>
      </w:r>
      <w:r w:rsidR="00DB2313" w:rsidRPr="005913B1">
        <w:rPr>
          <w:rFonts w:ascii="Garamond" w:hAnsi="Garamond"/>
          <w:sz w:val="24"/>
          <w:szCs w:val="24"/>
        </w:rPr>
        <w:t xml:space="preserve">could also be considered </w:t>
      </w:r>
      <w:r w:rsidR="007961CD" w:rsidRPr="005913B1">
        <w:rPr>
          <w:rFonts w:ascii="Garamond" w:hAnsi="Garamond"/>
          <w:sz w:val="24"/>
          <w:szCs w:val="24"/>
        </w:rPr>
        <w:t xml:space="preserve">to extend </w:t>
      </w:r>
      <w:r w:rsidRPr="005913B1">
        <w:rPr>
          <w:rFonts w:ascii="Garamond" w:hAnsi="Garamond"/>
          <w:sz w:val="24"/>
          <w:szCs w:val="24"/>
        </w:rPr>
        <w:t>beyond caution in the narrow sense of the term, to include e.g. indemnities, depositing an asset or consigning funds in court etc.</w:t>
      </w:r>
      <w:r w:rsidR="003F2E8D" w:rsidRPr="005913B1">
        <w:rPr>
          <w:rFonts w:ascii="Garamond" w:hAnsi="Garamond"/>
          <w:sz w:val="24"/>
          <w:szCs w:val="24"/>
        </w:rPr>
        <w:t xml:space="preserve"> </w:t>
      </w:r>
    </w:p>
    <w:p w14:paraId="1ED7116A" w14:textId="73CF0F37" w:rsidR="0035540F" w:rsidRPr="005913B1" w:rsidRDefault="00604C06" w:rsidP="00286E0F">
      <w:pPr>
        <w:jc w:val="both"/>
        <w:rPr>
          <w:rFonts w:ascii="Garamond" w:hAnsi="Garamond"/>
          <w:sz w:val="24"/>
          <w:szCs w:val="24"/>
        </w:rPr>
      </w:pPr>
      <w:r w:rsidRPr="005913B1">
        <w:rPr>
          <w:rFonts w:ascii="Garamond" w:hAnsi="Garamond"/>
          <w:sz w:val="24"/>
          <w:szCs w:val="24"/>
        </w:rPr>
        <w:t>The following points might be borne in mind when considering the definition of caution for the purposes of the draft legislation. In</w:t>
      </w:r>
      <w:r w:rsidR="0035540F" w:rsidRPr="005913B1">
        <w:rPr>
          <w:rFonts w:ascii="Garamond" w:hAnsi="Garamond"/>
          <w:sz w:val="24"/>
          <w:szCs w:val="24"/>
        </w:rPr>
        <w:t xml:space="preserve"> </w:t>
      </w:r>
      <w:r w:rsidR="0035540F" w:rsidRPr="005913B1">
        <w:rPr>
          <w:rFonts w:ascii="Garamond" w:hAnsi="Garamond"/>
          <w:i/>
          <w:iCs/>
          <w:sz w:val="24"/>
          <w:szCs w:val="24"/>
        </w:rPr>
        <w:t xml:space="preserve">Centenary 6 Ltd v Caven </w:t>
      </w:r>
      <w:r w:rsidR="0035540F" w:rsidRPr="005913B1">
        <w:rPr>
          <w:rFonts w:ascii="Garamond" w:hAnsi="Garamond"/>
          <w:sz w:val="24"/>
          <w:szCs w:val="24"/>
        </w:rPr>
        <w:t xml:space="preserve">[2018] CSIH 27, Lord Glennie, </w:t>
      </w:r>
      <w:r w:rsidRPr="005913B1">
        <w:rPr>
          <w:rFonts w:ascii="Garamond" w:hAnsi="Garamond"/>
          <w:sz w:val="24"/>
          <w:szCs w:val="24"/>
        </w:rPr>
        <w:t>delivering a</w:t>
      </w:r>
      <w:r w:rsidR="0035540F" w:rsidRPr="005913B1">
        <w:rPr>
          <w:rFonts w:ascii="Garamond" w:hAnsi="Garamond"/>
          <w:sz w:val="24"/>
          <w:szCs w:val="24"/>
        </w:rPr>
        <w:t xml:space="preserve"> dissenting judgment, raise</w:t>
      </w:r>
      <w:r w:rsidRPr="005913B1">
        <w:rPr>
          <w:rFonts w:ascii="Garamond" w:hAnsi="Garamond"/>
          <w:sz w:val="24"/>
          <w:szCs w:val="24"/>
        </w:rPr>
        <w:t>d</w:t>
      </w:r>
      <w:r w:rsidR="0035540F" w:rsidRPr="005913B1">
        <w:rPr>
          <w:rFonts w:ascii="Garamond" w:hAnsi="Garamond"/>
          <w:sz w:val="24"/>
          <w:szCs w:val="24"/>
        </w:rPr>
        <w:t xml:space="preserve"> the question whether the term ‘find caution’ used in the Companies Act 1985, s</w:t>
      </w:r>
      <w:r w:rsidR="00B0721F" w:rsidRPr="005913B1">
        <w:rPr>
          <w:rFonts w:ascii="Garamond" w:hAnsi="Garamond"/>
          <w:sz w:val="24"/>
          <w:szCs w:val="24"/>
        </w:rPr>
        <w:t>ection</w:t>
      </w:r>
      <w:r w:rsidR="0035540F" w:rsidRPr="005913B1">
        <w:rPr>
          <w:rFonts w:ascii="Garamond" w:hAnsi="Garamond"/>
          <w:sz w:val="24"/>
          <w:szCs w:val="24"/>
        </w:rPr>
        <w:t xml:space="preserve"> 726, refer</w:t>
      </w:r>
      <w:r w:rsidRPr="005913B1">
        <w:rPr>
          <w:rFonts w:ascii="Garamond" w:hAnsi="Garamond"/>
          <w:sz w:val="24"/>
          <w:szCs w:val="24"/>
        </w:rPr>
        <w:t>red</w:t>
      </w:r>
      <w:r w:rsidR="0035540F" w:rsidRPr="005913B1">
        <w:rPr>
          <w:rFonts w:ascii="Garamond" w:hAnsi="Garamond"/>
          <w:sz w:val="24"/>
          <w:szCs w:val="24"/>
        </w:rPr>
        <w:t xml:space="preserve"> not simply to a personal obligation to fulfil another’s obligation (</w:t>
      </w:r>
      <w:r w:rsidRPr="005913B1">
        <w:rPr>
          <w:rFonts w:ascii="Garamond" w:hAnsi="Garamond"/>
          <w:sz w:val="24"/>
          <w:szCs w:val="24"/>
        </w:rPr>
        <w:t xml:space="preserve">i.e. </w:t>
      </w:r>
      <w:r w:rsidR="0035540F" w:rsidRPr="005913B1">
        <w:rPr>
          <w:rFonts w:ascii="Garamond" w:hAnsi="Garamond"/>
          <w:sz w:val="24"/>
          <w:szCs w:val="24"/>
        </w:rPr>
        <w:t>suretyship) but to security more generally. He refer</w:t>
      </w:r>
      <w:r w:rsidRPr="005913B1">
        <w:rPr>
          <w:rFonts w:ascii="Garamond" w:hAnsi="Garamond"/>
          <w:sz w:val="24"/>
          <w:szCs w:val="24"/>
        </w:rPr>
        <w:t>red</w:t>
      </w:r>
      <w:r w:rsidR="0035540F" w:rsidRPr="005913B1">
        <w:rPr>
          <w:rFonts w:ascii="Garamond" w:hAnsi="Garamond"/>
          <w:sz w:val="24"/>
          <w:szCs w:val="24"/>
        </w:rPr>
        <w:t xml:space="preserve"> to a comment by Lord Hope </w:t>
      </w:r>
      <w:r w:rsidR="0035540F" w:rsidRPr="005913B1">
        <w:rPr>
          <w:rFonts w:ascii="Garamond" w:hAnsi="Garamond"/>
          <w:sz w:val="24"/>
          <w:szCs w:val="24"/>
        </w:rPr>
        <w:lastRenderedPageBreak/>
        <w:t xml:space="preserve">in </w:t>
      </w:r>
      <w:r w:rsidR="0035540F" w:rsidRPr="005913B1">
        <w:rPr>
          <w:rFonts w:ascii="Garamond" w:hAnsi="Garamond"/>
          <w:i/>
          <w:iCs/>
          <w:sz w:val="24"/>
          <w:szCs w:val="24"/>
        </w:rPr>
        <w:t xml:space="preserve">Anderson v Shetland Islands Council </w:t>
      </w:r>
      <w:r w:rsidR="0035540F" w:rsidRPr="005913B1">
        <w:rPr>
          <w:rFonts w:ascii="Garamond" w:hAnsi="Garamond"/>
          <w:sz w:val="24"/>
          <w:szCs w:val="24"/>
        </w:rPr>
        <w:t>[2012] UKSC 7</w:t>
      </w:r>
      <w:r w:rsidR="0035540F" w:rsidRPr="005913B1">
        <w:rPr>
          <w:rFonts w:ascii="Garamond" w:hAnsi="Garamond"/>
          <w:i/>
          <w:iCs/>
          <w:sz w:val="24"/>
          <w:szCs w:val="24"/>
        </w:rPr>
        <w:t xml:space="preserve"> </w:t>
      </w:r>
      <w:r w:rsidR="0035540F" w:rsidRPr="005913B1">
        <w:rPr>
          <w:rFonts w:ascii="Garamond" w:hAnsi="Garamond"/>
          <w:sz w:val="24"/>
          <w:szCs w:val="24"/>
        </w:rPr>
        <w:t>[11] to the effect that, in a broad sense, the term ‘caution’ can be viewed as the ‘Scots word for security’. Lord Glennie suggest</w:t>
      </w:r>
      <w:r w:rsidRPr="005913B1">
        <w:rPr>
          <w:rFonts w:ascii="Garamond" w:hAnsi="Garamond"/>
          <w:sz w:val="24"/>
          <w:szCs w:val="24"/>
        </w:rPr>
        <w:t>ed</w:t>
      </w:r>
      <w:r w:rsidR="0035540F" w:rsidRPr="005913B1">
        <w:rPr>
          <w:rFonts w:ascii="Garamond" w:hAnsi="Garamond"/>
          <w:sz w:val="24"/>
          <w:szCs w:val="24"/>
        </w:rPr>
        <w:t xml:space="preserve"> that, on one view, the effect of section </w:t>
      </w:r>
      <w:r w:rsidR="0035540F" w:rsidRPr="005913B1">
        <w:rPr>
          <w:rFonts w:ascii="Garamond" w:hAnsi="Garamond"/>
          <w:sz w:val="24"/>
          <w:szCs w:val="24"/>
        </w:rPr>
        <w:t>7</w:t>
      </w:r>
      <w:r w:rsidR="007961CD" w:rsidRPr="005913B1">
        <w:rPr>
          <w:rFonts w:ascii="Garamond" w:hAnsi="Garamond"/>
          <w:sz w:val="24"/>
          <w:szCs w:val="24"/>
        </w:rPr>
        <w:t>2</w:t>
      </w:r>
      <w:r w:rsidR="0035540F" w:rsidRPr="005913B1">
        <w:rPr>
          <w:rFonts w:ascii="Garamond" w:hAnsi="Garamond"/>
          <w:sz w:val="24"/>
          <w:szCs w:val="24"/>
        </w:rPr>
        <w:t>6(2) of the 1985 Act was ‘simply to translate’ an English provision regarding the finding of ‘sufficient security’ into ‘Scots legal terminology’, which would suggest that by the term ‘caution’ all that was meant</w:t>
      </w:r>
      <w:r w:rsidRPr="005913B1">
        <w:rPr>
          <w:rFonts w:ascii="Garamond" w:hAnsi="Garamond"/>
          <w:sz w:val="24"/>
          <w:szCs w:val="24"/>
        </w:rPr>
        <w:t xml:space="preserve"> there</w:t>
      </w:r>
      <w:r w:rsidR="0035540F" w:rsidRPr="005913B1">
        <w:rPr>
          <w:rFonts w:ascii="Garamond" w:hAnsi="Garamond"/>
          <w:sz w:val="24"/>
          <w:szCs w:val="24"/>
        </w:rPr>
        <w:t xml:space="preserve"> was ‘security’.  Ultimately, Lord Glennie reserve</w:t>
      </w:r>
      <w:r w:rsidR="009A71B7" w:rsidRPr="005913B1">
        <w:rPr>
          <w:rFonts w:ascii="Garamond" w:hAnsi="Garamond"/>
          <w:sz w:val="24"/>
          <w:szCs w:val="24"/>
        </w:rPr>
        <w:t>d</w:t>
      </w:r>
      <w:r w:rsidR="0035540F" w:rsidRPr="005913B1">
        <w:rPr>
          <w:rFonts w:ascii="Garamond" w:hAnsi="Garamond"/>
          <w:sz w:val="24"/>
          <w:szCs w:val="24"/>
        </w:rPr>
        <w:t xml:space="preserve"> his opinion on the matter, which, in any case, involve</w:t>
      </w:r>
      <w:r w:rsidR="009A71B7" w:rsidRPr="005913B1">
        <w:rPr>
          <w:rFonts w:ascii="Garamond" w:hAnsi="Garamond"/>
          <w:sz w:val="24"/>
          <w:szCs w:val="24"/>
        </w:rPr>
        <w:t>d</w:t>
      </w:r>
      <w:r w:rsidR="0035540F" w:rsidRPr="005913B1">
        <w:rPr>
          <w:rFonts w:ascii="Garamond" w:hAnsi="Garamond"/>
          <w:sz w:val="24"/>
          <w:szCs w:val="24"/>
        </w:rPr>
        <w:t xml:space="preserve"> the interpretation of a statutory provision that does not concern judicial factors. </w:t>
      </w:r>
      <w:r w:rsidR="00C329F7" w:rsidRPr="005913B1">
        <w:rPr>
          <w:rFonts w:ascii="Garamond" w:hAnsi="Garamond"/>
          <w:sz w:val="24"/>
          <w:szCs w:val="24"/>
        </w:rPr>
        <w:t>But he did note that</w:t>
      </w:r>
      <w:r w:rsidR="0035540F" w:rsidRPr="005913B1">
        <w:rPr>
          <w:rFonts w:ascii="Garamond" w:hAnsi="Garamond"/>
          <w:sz w:val="24"/>
          <w:szCs w:val="24"/>
        </w:rPr>
        <w:t xml:space="preserve"> consignation ‘surely provides even greater security for a defender than a bond of caution’. Bearing those points in mind, if ‘caution’ is to be understood more broadly for the purposes of legislation on judicial factors than at common law, it would be worthwhile to make that broader meaning explicit.</w:t>
      </w:r>
    </w:p>
    <w:p w14:paraId="4ABBE047" w14:textId="0EBC1DC0" w:rsidR="007E4073" w:rsidRPr="005913B1" w:rsidRDefault="0035540F" w:rsidP="00286E0F">
      <w:pPr>
        <w:jc w:val="both"/>
        <w:rPr>
          <w:rFonts w:ascii="Garamond" w:hAnsi="Garamond"/>
          <w:sz w:val="24"/>
          <w:szCs w:val="24"/>
        </w:rPr>
      </w:pPr>
      <w:r w:rsidRPr="005913B1">
        <w:rPr>
          <w:rFonts w:ascii="Garamond" w:hAnsi="Garamond"/>
          <w:sz w:val="24"/>
          <w:szCs w:val="24"/>
        </w:rPr>
        <w:t xml:space="preserve">Conversely, it may be that, for some purposes, a narrower definition of ‘caution’ than would </w:t>
      </w:r>
      <w:r w:rsidR="000B032E" w:rsidRPr="005913B1">
        <w:rPr>
          <w:rFonts w:ascii="Garamond" w:hAnsi="Garamond"/>
          <w:sz w:val="24"/>
          <w:szCs w:val="24"/>
        </w:rPr>
        <w:t>apply</w:t>
      </w:r>
      <w:r w:rsidRPr="005913B1">
        <w:rPr>
          <w:rFonts w:ascii="Garamond" w:hAnsi="Garamond"/>
          <w:sz w:val="24"/>
          <w:szCs w:val="24"/>
        </w:rPr>
        <w:t xml:space="preserve"> at common law is appropriate. Again, the precise respects in which a given statutory definition is narrower could be made explicit in the </w:t>
      </w:r>
      <w:r w:rsidR="00380C69" w:rsidRPr="005913B1">
        <w:rPr>
          <w:rFonts w:ascii="Garamond" w:hAnsi="Garamond"/>
          <w:sz w:val="24"/>
          <w:szCs w:val="24"/>
        </w:rPr>
        <w:t>new legislation</w:t>
      </w:r>
      <w:r w:rsidRPr="005913B1">
        <w:rPr>
          <w:rFonts w:ascii="Garamond" w:hAnsi="Garamond"/>
          <w:sz w:val="24"/>
          <w:szCs w:val="24"/>
        </w:rPr>
        <w:t>.</w:t>
      </w:r>
      <w:r w:rsidR="00380C69" w:rsidRPr="005913B1">
        <w:rPr>
          <w:rFonts w:ascii="Garamond" w:hAnsi="Garamond"/>
          <w:sz w:val="24"/>
          <w:szCs w:val="24"/>
        </w:rPr>
        <w:t xml:space="preserve"> </w:t>
      </w:r>
      <w:r w:rsidRPr="005913B1">
        <w:rPr>
          <w:rFonts w:ascii="Garamond" w:hAnsi="Garamond"/>
          <w:sz w:val="24"/>
          <w:szCs w:val="24"/>
        </w:rPr>
        <w:t>Ultimately, in a statute</w:t>
      </w:r>
      <w:r w:rsidR="00380C69" w:rsidRPr="005913B1">
        <w:rPr>
          <w:rFonts w:ascii="Garamond" w:hAnsi="Garamond"/>
          <w:sz w:val="24"/>
          <w:szCs w:val="24"/>
        </w:rPr>
        <w:t>,</w:t>
      </w:r>
      <w:r w:rsidRPr="005913B1">
        <w:rPr>
          <w:rFonts w:ascii="Garamond" w:hAnsi="Garamond"/>
          <w:sz w:val="24"/>
          <w:szCs w:val="24"/>
        </w:rPr>
        <w:t xml:space="preserve"> the meaning of the word ‘caution’ may be both broader for some purposes and narrower for other purposes than at common law. </w:t>
      </w:r>
    </w:p>
    <w:p w14:paraId="00235663" w14:textId="3AC498D3" w:rsidR="005B3F6D" w:rsidRPr="005913B1" w:rsidRDefault="005B3F6D" w:rsidP="00286E0F">
      <w:pPr>
        <w:jc w:val="both"/>
        <w:rPr>
          <w:rFonts w:ascii="Garamond" w:hAnsi="Garamond"/>
          <w:sz w:val="24"/>
          <w:szCs w:val="24"/>
        </w:rPr>
      </w:pPr>
      <w:r w:rsidRPr="005913B1">
        <w:rPr>
          <w:rFonts w:ascii="Garamond" w:hAnsi="Garamond"/>
          <w:sz w:val="24"/>
          <w:szCs w:val="24"/>
        </w:rPr>
        <w:t xml:space="preserve">In section 6(1), the provision </w:t>
      </w:r>
      <w:r w:rsidR="00C86D8B" w:rsidRPr="005913B1">
        <w:rPr>
          <w:rFonts w:ascii="Garamond" w:hAnsi="Garamond"/>
          <w:sz w:val="24"/>
          <w:szCs w:val="24"/>
        </w:rPr>
        <w:t>ought to</w:t>
      </w:r>
      <w:r w:rsidRPr="005913B1">
        <w:rPr>
          <w:rFonts w:ascii="Garamond" w:hAnsi="Garamond"/>
          <w:sz w:val="24"/>
          <w:szCs w:val="24"/>
        </w:rPr>
        <w:t xml:space="preserve"> </w:t>
      </w:r>
      <w:r w:rsidR="00C86D8B" w:rsidRPr="005913B1">
        <w:rPr>
          <w:rFonts w:ascii="Garamond" w:hAnsi="Garamond"/>
          <w:sz w:val="24"/>
          <w:szCs w:val="24"/>
        </w:rPr>
        <w:t>state</w:t>
      </w:r>
      <w:r w:rsidRPr="005913B1">
        <w:rPr>
          <w:rFonts w:ascii="Garamond" w:hAnsi="Garamond"/>
          <w:sz w:val="24"/>
          <w:szCs w:val="24"/>
        </w:rPr>
        <w:t xml:space="preserve"> that the clerk of court should send the notice of appointment to the Keeper of the Register of Inhibitions for registration, rather than the clerk of court actually registering the notice in the Register of Inhibitions. </w:t>
      </w:r>
      <w:r w:rsidR="00AA4330" w:rsidRPr="005913B1">
        <w:rPr>
          <w:rFonts w:ascii="Garamond" w:hAnsi="Garamond"/>
          <w:sz w:val="24"/>
          <w:szCs w:val="24"/>
        </w:rPr>
        <w:t>See e.g. s</w:t>
      </w:r>
      <w:r w:rsidR="00B0721F" w:rsidRPr="005913B1">
        <w:rPr>
          <w:rFonts w:ascii="Garamond" w:hAnsi="Garamond"/>
          <w:sz w:val="24"/>
          <w:szCs w:val="24"/>
        </w:rPr>
        <w:t>ection</w:t>
      </w:r>
      <w:r w:rsidR="00AA4330" w:rsidRPr="005913B1">
        <w:rPr>
          <w:rFonts w:ascii="Garamond" w:hAnsi="Garamond"/>
          <w:sz w:val="24"/>
          <w:szCs w:val="24"/>
        </w:rPr>
        <w:t xml:space="preserve"> 26(1) of the Bankruptcy (Scotland) Act 2016 for </w:t>
      </w:r>
      <w:r w:rsidR="00E047E6" w:rsidRPr="005913B1">
        <w:rPr>
          <w:rFonts w:ascii="Garamond" w:hAnsi="Garamond"/>
          <w:sz w:val="24"/>
          <w:szCs w:val="24"/>
        </w:rPr>
        <w:t>an example of wording that could be adapted</w:t>
      </w:r>
      <w:r w:rsidR="00AA4330" w:rsidRPr="005913B1">
        <w:rPr>
          <w:rFonts w:ascii="Garamond" w:hAnsi="Garamond"/>
          <w:sz w:val="24"/>
          <w:szCs w:val="24"/>
        </w:rPr>
        <w:t>.</w:t>
      </w:r>
    </w:p>
    <w:p w14:paraId="669F54CA" w14:textId="77777777" w:rsidR="00C849D7" w:rsidRPr="005913B1" w:rsidRDefault="00176F84" w:rsidP="00286E0F">
      <w:pPr>
        <w:jc w:val="both"/>
        <w:rPr>
          <w:rFonts w:ascii="Garamond" w:hAnsi="Garamond"/>
          <w:sz w:val="24"/>
          <w:szCs w:val="24"/>
        </w:rPr>
      </w:pPr>
      <w:r w:rsidRPr="005913B1">
        <w:rPr>
          <w:rFonts w:ascii="Garamond" w:hAnsi="Garamond"/>
          <w:sz w:val="24"/>
          <w:szCs w:val="24"/>
        </w:rPr>
        <w:t xml:space="preserve">Section 6(3) should refer to sending for re-registration in the Register, rather than specifying that the judicial factor actually does the re-registration of the notice in the Register. </w:t>
      </w:r>
    </w:p>
    <w:p w14:paraId="4731EEF6" w14:textId="4BB5C2AA" w:rsidR="00E6764A" w:rsidRPr="005913B1" w:rsidRDefault="00176F84" w:rsidP="00286E0F">
      <w:pPr>
        <w:jc w:val="both"/>
        <w:rPr>
          <w:rFonts w:ascii="Garamond" w:hAnsi="Garamond"/>
          <w:sz w:val="24"/>
          <w:szCs w:val="24"/>
        </w:rPr>
      </w:pPr>
      <w:r w:rsidRPr="005913B1">
        <w:rPr>
          <w:rFonts w:ascii="Garamond" w:hAnsi="Garamond"/>
          <w:sz w:val="24"/>
          <w:szCs w:val="24"/>
        </w:rPr>
        <w:t>More broadly, attention should be given as to whether the effect of registration should have the effect of an inhibition – and thereby be more than just for advertising and information purposes only. This is a particularly pertinent issue given that vesting in the appointee in this context (see s</w:t>
      </w:r>
      <w:r w:rsidR="00B0721F" w:rsidRPr="005913B1">
        <w:rPr>
          <w:rFonts w:ascii="Garamond" w:hAnsi="Garamond"/>
          <w:sz w:val="24"/>
          <w:szCs w:val="24"/>
        </w:rPr>
        <w:t>ection</w:t>
      </w:r>
      <w:r w:rsidRPr="005913B1">
        <w:rPr>
          <w:rFonts w:ascii="Garamond" w:hAnsi="Garamond"/>
          <w:sz w:val="24"/>
          <w:szCs w:val="24"/>
        </w:rPr>
        <w:t xml:space="preserve"> </w:t>
      </w:r>
      <w:r w:rsidR="00DD2C78" w:rsidRPr="005913B1">
        <w:rPr>
          <w:rFonts w:ascii="Garamond" w:hAnsi="Garamond"/>
          <w:sz w:val="24"/>
          <w:szCs w:val="24"/>
        </w:rPr>
        <w:t>7</w:t>
      </w:r>
      <w:r w:rsidRPr="005913B1">
        <w:rPr>
          <w:rFonts w:ascii="Garamond" w:hAnsi="Garamond"/>
          <w:sz w:val="24"/>
          <w:szCs w:val="24"/>
        </w:rPr>
        <w:t>) is analogous to vesting of property in a trustee in sequestration. There are various circumstances, especially with respect to non-natural persons, where an inhibition effect would be of value.</w:t>
      </w:r>
      <w:r w:rsidR="00AF0453" w:rsidRPr="005913B1">
        <w:rPr>
          <w:rFonts w:ascii="Garamond" w:hAnsi="Garamond"/>
          <w:sz w:val="24"/>
          <w:szCs w:val="24"/>
        </w:rPr>
        <w:t xml:space="preserve"> It seems from paragraphs 43 and 44 of the Policy Memorandum that there is an assumption that mere registration in the Register of Inhibitions would have the effect of an inhibition; however, this is not certain without a provision to that effect. For example, </w:t>
      </w:r>
      <w:r w:rsidR="006C6C9C" w:rsidRPr="005913B1">
        <w:rPr>
          <w:rFonts w:ascii="Garamond" w:hAnsi="Garamond"/>
          <w:sz w:val="24"/>
          <w:szCs w:val="24"/>
        </w:rPr>
        <w:t xml:space="preserve">for sequestration, there </w:t>
      </w:r>
      <w:r w:rsidR="00DD18DF" w:rsidRPr="005913B1">
        <w:rPr>
          <w:rFonts w:ascii="Garamond" w:hAnsi="Garamond"/>
          <w:sz w:val="24"/>
          <w:szCs w:val="24"/>
        </w:rPr>
        <w:t>is a provision at s</w:t>
      </w:r>
      <w:r w:rsidR="00B0721F" w:rsidRPr="005913B1">
        <w:rPr>
          <w:rFonts w:ascii="Garamond" w:hAnsi="Garamond"/>
          <w:sz w:val="24"/>
          <w:szCs w:val="24"/>
        </w:rPr>
        <w:t>ection</w:t>
      </w:r>
      <w:r w:rsidR="00DD18DF" w:rsidRPr="005913B1">
        <w:rPr>
          <w:rFonts w:ascii="Garamond" w:hAnsi="Garamond"/>
          <w:sz w:val="24"/>
          <w:szCs w:val="24"/>
        </w:rPr>
        <w:t xml:space="preserve"> 26(3)</w:t>
      </w:r>
      <w:r w:rsidR="00AA4330" w:rsidRPr="005913B1">
        <w:rPr>
          <w:rFonts w:ascii="Garamond" w:hAnsi="Garamond"/>
          <w:sz w:val="24"/>
          <w:szCs w:val="24"/>
        </w:rPr>
        <w:t xml:space="preserve"> </w:t>
      </w:r>
      <w:r w:rsidR="00FC20D1" w:rsidRPr="005913B1">
        <w:rPr>
          <w:rFonts w:ascii="Garamond" w:hAnsi="Garamond"/>
          <w:sz w:val="24"/>
          <w:szCs w:val="24"/>
        </w:rPr>
        <w:t xml:space="preserve">of the Bankruptcy (Scotland) Act 2016 </w:t>
      </w:r>
      <w:r w:rsidR="005F42F3" w:rsidRPr="005913B1">
        <w:rPr>
          <w:rFonts w:ascii="Garamond" w:hAnsi="Garamond"/>
          <w:sz w:val="24"/>
          <w:szCs w:val="24"/>
        </w:rPr>
        <w:t xml:space="preserve">expressly </w:t>
      </w:r>
      <w:r w:rsidR="00AA4330" w:rsidRPr="005913B1">
        <w:rPr>
          <w:rFonts w:ascii="Garamond" w:hAnsi="Garamond"/>
          <w:sz w:val="24"/>
          <w:szCs w:val="24"/>
        </w:rPr>
        <w:t>specifying th</w:t>
      </w:r>
      <w:r w:rsidR="005F42F3" w:rsidRPr="005913B1">
        <w:rPr>
          <w:rFonts w:ascii="Garamond" w:hAnsi="Garamond"/>
          <w:sz w:val="24"/>
          <w:szCs w:val="24"/>
        </w:rPr>
        <w:t xml:space="preserve">at recording has the effect of an inhibition. </w:t>
      </w:r>
    </w:p>
    <w:p w14:paraId="6FB36A6F" w14:textId="7E7DA399" w:rsidR="00E6764A" w:rsidRPr="005913B1" w:rsidRDefault="00283389" w:rsidP="00286E0F">
      <w:pPr>
        <w:jc w:val="both"/>
        <w:rPr>
          <w:rFonts w:ascii="Garamond" w:hAnsi="Garamond"/>
          <w:sz w:val="24"/>
          <w:szCs w:val="24"/>
        </w:rPr>
      </w:pPr>
      <w:r w:rsidRPr="005913B1">
        <w:rPr>
          <w:rFonts w:ascii="Garamond" w:hAnsi="Garamond"/>
          <w:sz w:val="24"/>
          <w:szCs w:val="24"/>
        </w:rPr>
        <w:t>However, there may need</w:t>
      </w:r>
      <w:r w:rsidR="00444DAE" w:rsidRPr="005913B1">
        <w:rPr>
          <w:rFonts w:ascii="Garamond" w:hAnsi="Garamond"/>
          <w:sz w:val="24"/>
          <w:szCs w:val="24"/>
        </w:rPr>
        <w:t xml:space="preserve"> to </w:t>
      </w:r>
      <w:r w:rsidRPr="005913B1">
        <w:rPr>
          <w:rFonts w:ascii="Garamond" w:hAnsi="Garamond"/>
          <w:sz w:val="24"/>
          <w:szCs w:val="24"/>
        </w:rPr>
        <w:t xml:space="preserve">be </w:t>
      </w:r>
      <w:r w:rsidR="00444DAE" w:rsidRPr="005913B1">
        <w:rPr>
          <w:rFonts w:ascii="Garamond" w:hAnsi="Garamond"/>
          <w:sz w:val="24"/>
          <w:szCs w:val="24"/>
        </w:rPr>
        <w:t>consider</w:t>
      </w:r>
      <w:r w:rsidRPr="005913B1">
        <w:rPr>
          <w:rFonts w:ascii="Garamond" w:hAnsi="Garamond"/>
          <w:sz w:val="24"/>
          <w:szCs w:val="24"/>
        </w:rPr>
        <w:t xml:space="preserve">ation </w:t>
      </w:r>
      <w:r w:rsidR="000B0225" w:rsidRPr="005913B1">
        <w:rPr>
          <w:rFonts w:ascii="Garamond" w:hAnsi="Garamond"/>
          <w:sz w:val="24"/>
          <w:szCs w:val="24"/>
        </w:rPr>
        <w:t>of</w:t>
      </w:r>
      <w:r w:rsidR="00444DAE" w:rsidRPr="005913B1">
        <w:rPr>
          <w:rFonts w:ascii="Garamond" w:hAnsi="Garamond"/>
          <w:sz w:val="24"/>
          <w:szCs w:val="24"/>
        </w:rPr>
        <w:t xml:space="preserve"> circumstances in which it </w:t>
      </w:r>
      <w:r w:rsidRPr="005913B1">
        <w:rPr>
          <w:rFonts w:ascii="Garamond" w:hAnsi="Garamond"/>
          <w:sz w:val="24"/>
          <w:szCs w:val="24"/>
        </w:rPr>
        <w:t xml:space="preserve">is </w:t>
      </w:r>
      <w:r w:rsidR="00444DAE" w:rsidRPr="005913B1">
        <w:rPr>
          <w:rFonts w:ascii="Garamond" w:hAnsi="Garamond"/>
          <w:sz w:val="24"/>
          <w:szCs w:val="24"/>
        </w:rPr>
        <w:t xml:space="preserve">not appropriate </w:t>
      </w:r>
      <w:r w:rsidRPr="005913B1">
        <w:rPr>
          <w:rFonts w:ascii="Garamond" w:hAnsi="Garamond"/>
          <w:sz w:val="24"/>
          <w:szCs w:val="24"/>
        </w:rPr>
        <w:t>for the</w:t>
      </w:r>
      <w:r w:rsidR="004B4763" w:rsidRPr="005913B1">
        <w:rPr>
          <w:rFonts w:ascii="Garamond" w:hAnsi="Garamond"/>
          <w:sz w:val="24"/>
          <w:szCs w:val="24"/>
        </w:rPr>
        <w:t>re to be an inhibition effect, i.e. where a party should still have the ability to deal with the property in spite of the</w:t>
      </w:r>
      <w:r w:rsidR="006A5FC1" w:rsidRPr="005913B1">
        <w:rPr>
          <w:rFonts w:ascii="Garamond" w:hAnsi="Garamond"/>
          <w:sz w:val="24"/>
          <w:szCs w:val="24"/>
        </w:rPr>
        <w:t xml:space="preserve"> appointment of a judicial factor (but maybe this should not be permitted given the vesting of the estate in the judicial factor).</w:t>
      </w:r>
    </w:p>
    <w:p w14:paraId="7F4736D0" w14:textId="1220AD1E" w:rsidR="00917039" w:rsidRPr="005913B1" w:rsidRDefault="00333687" w:rsidP="00286E0F">
      <w:pPr>
        <w:jc w:val="both"/>
        <w:rPr>
          <w:rFonts w:ascii="Garamond" w:hAnsi="Garamond"/>
          <w:sz w:val="24"/>
          <w:szCs w:val="24"/>
        </w:rPr>
      </w:pPr>
      <w:r w:rsidRPr="005913B1">
        <w:rPr>
          <w:rFonts w:ascii="Garamond" w:hAnsi="Garamond"/>
          <w:sz w:val="24"/>
          <w:szCs w:val="24"/>
        </w:rPr>
        <w:t>In s</w:t>
      </w:r>
      <w:r w:rsidR="00B0721F" w:rsidRPr="005913B1">
        <w:rPr>
          <w:rFonts w:ascii="Garamond" w:hAnsi="Garamond"/>
          <w:sz w:val="24"/>
          <w:szCs w:val="24"/>
        </w:rPr>
        <w:t>ection</w:t>
      </w:r>
      <w:r w:rsidRPr="005913B1">
        <w:rPr>
          <w:rFonts w:ascii="Garamond" w:hAnsi="Garamond"/>
          <w:sz w:val="24"/>
          <w:szCs w:val="24"/>
        </w:rPr>
        <w:t xml:space="preserve"> 7(1) it is unclear whether the reference to the “whole estate on which a judicial factor is appointed” </w:t>
      </w:r>
      <w:r w:rsidR="006A5FB4" w:rsidRPr="005913B1">
        <w:rPr>
          <w:rFonts w:ascii="Garamond" w:hAnsi="Garamond"/>
          <w:sz w:val="24"/>
          <w:szCs w:val="24"/>
        </w:rPr>
        <w:t xml:space="preserve">means that it will always be the case that the entirety of an estate will vest in a judicial factor, or whether this is actually just referring to the extent of an estate that vests with the judicial factor (i.e. that it might be possible for less than the entirety of a party’s estate </w:t>
      </w:r>
      <w:r w:rsidR="0072129B" w:rsidRPr="005913B1">
        <w:rPr>
          <w:rFonts w:ascii="Garamond" w:hAnsi="Garamond"/>
          <w:sz w:val="24"/>
          <w:szCs w:val="24"/>
        </w:rPr>
        <w:t>to</w:t>
      </w:r>
      <w:r w:rsidR="006A5FB4" w:rsidRPr="005913B1">
        <w:rPr>
          <w:rFonts w:ascii="Garamond" w:hAnsi="Garamond"/>
          <w:sz w:val="24"/>
          <w:szCs w:val="24"/>
        </w:rPr>
        <w:t xml:space="preserve"> vest). </w:t>
      </w:r>
      <w:r w:rsidR="00B76B12" w:rsidRPr="005913B1">
        <w:rPr>
          <w:rFonts w:ascii="Garamond" w:hAnsi="Garamond"/>
          <w:sz w:val="24"/>
          <w:szCs w:val="24"/>
        </w:rPr>
        <w:t xml:space="preserve">We assume that the intention is for the entirety of an estate to vest; however, it may be desirable to clarify what precisely </w:t>
      </w:r>
      <w:r w:rsidR="0013255F" w:rsidRPr="005913B1">
        <w:rPr>
          <w:rFonts w:ascii="Garamond" w:hAnsi="Garamond"/>
          <w:sz w:val="24"/>
          <w:szCs w:val="24"/>
        </w:rPr>
        <w:t>is meant by this</w:t>
      </w:r>
      <w:r w:rsidR="004A3DEE" w:rsidRPr="005913B1">
        <w:rPr>
          <w:rFonts w:ascii="Garamond" w:hAnsi="Garamond"/>
          <w:sz w:val="24"/>
          <w:szCs w:val="24"/>
        </w:rPr>
        <w:t xml:space="preserve"> (whether in a provision or in the Explanatory Notes)</w:t>
      </w:r>
      <w:r w:rsidR="0013255F" w:rsidRPr="005913B1">
        <w:rPr>
          <w:rFonts w:ascii="Garamond" w:hAnsi="Garamond"/>
          <w:sz w:val="24"/>
          <w:szCs w:val="24"/>
        </w:rPr>
        <w:t xml:space="preserve">. </w:t>
      </w:r>
    </w:p>
    <w:p w14:paraId="640605FA" w14:textId="457B981B" w:rsidR="006E3EEF" w:rsidRPr="005913B1" w:rsidRDefault="006E3EEF" w:rsidP="00286E0F">
      <w:pPr>
        <w:jc w:val="both"/>
        <w:rPr>
          <w:rFonts w:ascii="Garamond" w:hAnsi="Garamond"/>
          <w:sz w:val="24"/>
          <w:szCs w:val="24"/>
        </w:rPr>
      </w:pPr>
      <w:r w:rsidRPr="005913B1">
        <w:rPr>
          <w:rFonts w:ascii="Garamond" w:hAnsi="Garamond"/>
          <w:sz w:val="24"/>
          <w:szCs w:val="24"/>
        </w:rPr>
        <w:t>Given that there is to be vesting of an estate in a judicial factor,</w:t>
      </w:r>
      <w:r w:rsidR="008F265B" w:rsidRPr="005913B1">
        <w:rPr>
          <w:rFonts w:ascii="Garamond" w:hAnsi="Garamond"/>
          <w:sz w:val="24"/>
          <w:szCs w:val="24"/>
        </w:rPr>
        <w:t xml:space="preserve"> attention should be given as to whether any of the additional provisions relating to</w:t>
      </w:r>
      <w:r w:rsidR="00246268" w:rsidRPr="005913B1">
        <w:rPr>
          <w:rFonts w:ascii="Garamond" w:hAnsi="Garamond"/>
          <w:sz w:val="24"/>
          <w:szCs w:val="24"/>
        </w:rPr>
        <w:t xml:space="preserve"> e.g. a trustee in sequestration should also apply here. </w:t>
      </w:r>
      <w:r w:rsidR="00D16531" w:rsidRPr="005913B1">
        <w:rPr>
          <w:rFonts w:ascii="Garamond" w:hAnsi="Garamond"/>
          <w:sz w:val="24"/>
          <w:szCs w:val="24"/>
        </w:rPr>
        <w:t xml:space="preserve">For example, should there be a limitation on the ability of a judicial factor to acquire title to </w:t>
      </w:r>
      <w:r w:rsidR="00D16531" w:rsidRPr="005913B1">
        <w:rPr>
          <w:rFonts w:ascii="Garamond" w:hAnsi="Garamond"/>
          <w:sz w:val="24"/>
          <w:szCs w:val="24"/>
        </w:rPr>
        <w:lastRenderedPageBreak/>
        <w:t>heritable property</w:t>
      </w:r>
      <w:r w:rsidR="00C20913" w:rsidRPr="005913B1">
        <w:rPr>
          <w:rFonts w:ascii="Garamond" w:hAnsi="Garamond"/>
          <w:sz w:val="24"/>
          <w:szCs w:val="24"/>
        </w:rPr>
        <w:t xml:space="preserve"> within a certain time period, as there is </w:t>
      </w:r>
      <w:r w:rsidR="009F21F2" w:rsidRPr="005913B1">
        <w:rPr>
          <w:rFonts w:ascii="Garamond" w:hAnsi="Garamond"/>
          <w:sz w:val="24"/>
          <w:szCs w:val="24"/>
        </w:rPr>
        <w:t>for trustees in sequestration under s</w:t>
      </w:r>
      <w:r w:rsidR="00B0721F" w:rsidRPr="005913B1">
        <w:rPr>
          <w:rFonts w:ascii="Garamond" w:hAnsi="Garamond"/>
          <w:sz w:val="24"/>
          <w:szCs w:val="24"/>
        </w:rPr>
        <w:t>ection</w:t>
      </w:r>
      <w:r w:rsidR="009F21F2" w:rsidRPr="005913B1">
        <w:rPr>
          <w:rFonts w:ascii="Garamond" w:hAnsi="Garamond"/>
          <w:sz w:val="24"/>
          <w:szCs w:val="24"/>
        </w:rPr>
        <w:t xml:space="preserve"> 78(3) and (4) (to give disponees a head start in the “race to the register”)</w:t>
      </w:r>
      <w:r w:rsidR="00B0721F" w:rsidRPr="005913B1">
        <w:rPr>
          <w:rFonts w:ascii="Garamond" w:hAnsi="Garamond"/>
          <w:sz w:val="24"/>
          <w:szCs w:val="24"/>
        </w:rPr>
        <w:t>?</w:t>
      </w:r>
      <w:r w:rsidR="00D16531" w:rsidRPr="005913B1">
        <w:rPr>
          <w:rFonts w:ascii="Garamond" w:hAnsi="Garamond"/>
          <w:sz w:val="24"/>
          <w:szCs w:val="24"/>
        </w:rPr>
        <w:t xml:space="preserve"> </w:t>
      </w:r>
    </w:p>
    <w:p w14:paraId="7D8E586A" w14:textId="77777777" w:rsidR="006103F7" w:rsidRPr="005913B1" w:rsidRDefault="006103F7" w:rsidP="00286E0F">
      <w:pPr>
        <w:jc w:val="both"/>
        <w:rPr>
          <w:rFonts w:ascii="Garamond" w:hAnsi="Garamond"/>
          <w:sz w:val="24"/>
          <w:szCs w:val="24"/>
        </w:rPr>
      </w:pPr>
    </w:p>
    <w:p w14:paraId="41028203" w14:textId="77777777" w:rsidR="008B302A" w:rsidRPr="005913B1" w:rsidRDefault="008B302A" w:rsidP="00286E0F">
      <w:pPr>
        <w:jc w:val="both"/>
        <w:rPr>
          <w:rFonts w:ascii="Garamond" w:hAnsi="Garamond"/>
          <w:sz w:val="24"/>
          <w:szCs w:val="24"/>
          <w:u w:val="single"/>
        </w:rPr>
      </w:pPr>
      <w:r w:rsidRPr="005913B1">
        <w:rPr>
          <w:rFonts w:ascii="Garamond" w:hAnsi="Garamond"/>
          <w:sz w:val="24"/>
          <w:szCs w:val="24"/>
          <w:u w:val="single"/>
        </w:rPr>
        <w:t>3. What are your views on the proposed functions of a judicial factor as set out in Part 2 and schedule 1 of the Bill?</w:t>
      </w:r>
    </w:p>
    <w:p w14:paraId="1FA55EB1" w14:textId="6CDD0C61" w:rsidR="008B302A" w:rsidRPr="005913B1" w:rsidRDefault="008B302A" w:rsidP="00286E0F">
      <w:pPr>
        <w:jc w:val="both"/>
        <w:rPr>
          <w:rFonts w:ascii="Garamond" w:hAnsi="Garamond"/>
          <w:b/>
          <w:bCs/>
          <w:sz w:val="24"/>
          <w:szCs w:val="24"/>
        </w:rPr>
      </w:pPr>
      <w:r w:rsidRPr="005913B1">
        <w:rPr>
          <w:rFonts w:ascii="Garamond" w:hAnsi="Garamond"/>
          <w:b/>
          <w:bCs/>
          <w:sz w:val="24"/>
          <w:szCs w:val="24"/>
        </w:rPr>
        <w:t xml:space="preserve">Information: </w:t>
      </w:r>
    </w:p>
    <w:p w14:paraId="18427493"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The Bill uses the term ‘functions’, which refers to both powers and duties. The functions of a judicial factor proposed in the Bill include:</w:t>
      </w:r>
    </w:p>
    <w:p w14:paraId="487EE9D1"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holding, managing, administering, and protecting the estate for the benefit of those with an interest in it (section 10)</w:t>
      </w:r>
    </w:p>
    <w:p w14:paraId="47DCDC87"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all the powers someone who owns the estate would have, with a list of examples of such powers set out in schedule 1</w:t>
      </w:r>
    </w:p>
    <w:p w14:paraId="7F050C91"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with some exceptions, the power to request information relating to the estate from both bodies and individuals (for example, financial information could be requested from banks) (section 12)</w:t>
      </w:r>
    </w:p>
    <w:p w14:paraId="7FC01B98"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a new duty to prepare a ‘management plan’ relating to the estate, which must be approved by the Accountant of Court (section 15)</w:t>
      </w:r>
    </w:p>
    <w:p w14:paraId="07EF9F6B"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to regularly report to the Accountant of Court, including by submitting accounts to that official at least every two years (section 16)</w:t>
      </w:r>
    </w:p>
    <w:p w14:paraId="0EC36F77"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a duty to consider whether it would be appropriate to invest the funds which form part of the estate and a duty to then make any such appropriate investments (section 17)</w:t>
      </w:r>
    </w:p>
    <w:p w14:paraId="7A97E66B"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if the judicial factor was appointed because people were unable to agree how an estate should be managed, the judicial factor must, by whatever methods they think appropriate, “promote agreement” between such people (section 19).</w:t>
      </w:r>
    </w:p>
    <w:p w14:paraId="3DC66383" w14:textId="77777777" w:rsidR="002D47D4" w:rsidRPr="005913B1" w:rsidRDefault="002D47D4" w:rsidP="00286E0F">
      <w:pPr>
        <w:jc w:val="both"/>
        <w:rPr>
          <w:rFonts w:ascii="Garamond" w:hAnsi="Garamond"/>
          <w:sz w:val="24"/>
          <w:szCs w:val="24"/>
        </w:rPr>
      </w:pPr>
    </w:p>
    <w:p w14:paraId="4A35C662" w14:textId="24583FA9" w:rsidR="00BB2CD6" w:rsidRPr="005913B1" w:rsidRDefault="00BB2CD6" w:rsidP="00286E0F">
      <w:pPr>
        <w:jc w:val="both"/>
        <w:rPr>
          <w:rFonts w:ascii="Garamond" w:hAnsi="Garamond"/>
          <w:sz w:val="24"/>
          <w:szCs w:val="24"/>
        </w:rPr>
      </w:pPr>
      <w:r w:rsidRPr="005913B1">
        <w:rPr>
          <w:rFonts w:ascii="Garamond" w:hAnsi="Garamond"/>
          <w:sz w:val="24"/>
          <w:szCs w:val="24"/>
        </w:rPr>
        <w:t xml:space="preserve">It may be desirable to provide more clarity as to the </w:t>
      </w:r>
      <w:r w:rsidR="00541527" w:rsidRPr="005913B1">
        <w:rPr>
          <w:rFonts w:ascii="Garamond" w:hAnsi="Garamond"/>
          <w:sz w:val="24"/>
          <w:szCs w:val="24"/>
        </w:rPr>
        <w:t>fiduciary nature of the judicial factor’s role</w:t>
      </w:r>
      <w:r w:rsidR="00E5380D" w:rsidRPr="005913B1">
        <w:rPr>
          <w:rFonts w:ascii="Garamond" w:hAnsi="Garamond"/>
          <w:sz w:val="24"/>
          <w:szCs w:val="24"/>
        </w:rPr>
        <w:t xml:space="preserve"> in relation to the management of the estate</w:t>
      </w:r>
      <w:r w:rsidR="00667730" w:rsidRPr="005913B1">
        <w:rPr>
          <w:rFonts w:ascii="Garamond" w:hAnsi="Garamond"/>
          <w:sz w:val="24"/>
          <w:szCs w:val="24"/>
        </w:rPr>
        <w:t xml:space="preserve"> (as per trustees, directors etc)</w:t>
      </w:r>
      <w:r w:rsidR="00E5380D" w:rsidRPr="005913B1">
        <w:rPr>
          <w:rFonts w:ascii="Garamond" w:hAnsi="Garamond"/>
          <w:sz w:val="24"/>
          <w:szCs w:val="24"/>
        </w:rPr>
        <w:t xml:space="preserve">. </w:t>
      </w:r>
    </w:p>
    <w:p w14:paraId="0426C149" w14:textId="715D121E" w:rsidR="002D47D4" w:rsidRPr="005913B1" w:rsidRDefault="002D47D4" w:rsidP="00286E0F">
      <w:pPr>
        <w:jc w:val="both"/>
        <w:rPr>
          <w:rFonts w:ascii="Garamond" w:hAnsi="Garamond"/>
          <w:sz w:val="24"/>
          <w:szCs w:val="24"/>
        </w:rPr>
      </w:pPr>
      <w:r w:rsidRPr="005913B1">
        <w:rPr>
          <w:rFonts w:ascii="Garamond" w:hAnsi="Garamond"/>
          <w:sz w:val="24"/>
          <w:szCs w:val="24"/>
        </w:rPr>
        <w:t>Under s</w:t>
      </w:r>
      <w:r w:rsidR="00B0721F" w:rsidRPr="005913B1">
        <w:rPr>
          <w:rFonts w:ascii="Garamond" w:hAnsi="Garamond"/>
          <w:sz w:val="24"/>
          <w:szCs w:val="24"/>
        </w:rPr>
        <w:t>ection</w:t>
      </w:r>
      <w:r w:rsidRPr="005913B1">
        <w:rPr>
          <w:rFonts w:ascii="Garamond" w:hAnsi="Garamond"/>
          <w:sz w:val="24"/>
          <w:szCs w:val="24"/>
        </w:rPr>
        <w:t xml:space="preserve"> 10(6), </w:t>
      </w:r>
      <w:r w:rsidR="00B0721F" w:rsidRPr="005913B1">
        <w:rPr>
          <w:rFonts w:ascii="Garamond" w:hAnsi="Garamond"/>
          <w:sz w:val="24"/>
          <w:szCs w:val="24"/>
        </w:rPr>
        <w:t xml:space="preserve">there should be </w:t>
      </w:r>
      <w:r w:rsidRPr="005913B1">
        <w:rPr>
          <w:rFonts w:ascii="Garamond" w:hAnsi="Garamond"/>
          <w:sz w:val="24"/>
          <w:szCs w:val="24"/>
        </w:rPr>
        <w:t>consider</w:t>
      </w:r>
      <w:r w:rsidR="00B0721F" w:rsidRPr="005913B1">
        <w:rPr>
          <w:rFonts w:ascii="Garamond" w:hAnsi="Garamond"/>
          <w:sz w:val="24"/>
          <w:szCs w:val="24"/>
        </w:rPr>
        <w:t>ation of</w:t>
      </w:r>
      <w:r w:rsidRPr="005913B1">
        <w:rPr>
          <w:rFonts w:ascii="Garamond" w:hAnsi="Garamond"/>
          <w:sz w:val="24"/>
          <w:szCs w:val="24"/>
        </w:rPr>
        <w:t xml:space="preserve"> whether “vest” is the appropriate word to use here – </w:t>
      </w:r>
      <w:r w:rsidR="00B0721F" w:rsidRPr="005913B1">
        <w:rPr>
          <w:rFonts w:ascii="Garamond" w:hAnsi="Garamond"/>
          <w:sz w:val="24"/>
          <w:szCs w:val="24"/>
        </w:rPr>
        <w:t xml:space="preserve">as </w:t>
      </w:r>
      <w:r w:rsidRPr="005913B1">
        <w:rPr>
          <w:rFonts w:ascii="Garamond" w:hAnsi="Garamond"/>
          <w:sz w:val="24"/>
          <w:szCs w:val="24"/>
        </w:rPr>
        <w:t>there could be confusion with vesting of the estate outlined in s</w:t>
      </w:r>
      <w:r w:rsidR="00B0721F" w:rsidRPr="005913B1">
        <w:rPr>
          <w:rFonts w:ascii="Garamond" w:hAnsi="Garamond"/>
          <w:sz w:val="24"/>
          <w:szCs w:val="24"/>
        </w:rPr>
        <w:t>ection</w:t>
      </w:r>
      <w:r w:rsidRPr="005913B1">
        <w:rPr>
          <w:rFonts w:ascii="Garamond" w:hAnsi="Garamond"/>
          <w:sz w:val="24"/>
          <w:szCs w:val="24"/>
        </w:rPr>
        <w:t xml:space="preserve"> 7. Instead, it could just be said that “[o]n the appointment date the judicial factor has the standard powers” or “[o]n the appointment date the standard powers are conferred on the judicial factor”. See also the reference to vesting of functions in Schedule 1, which should be amended as well.</w:t>
      </w:r>
    </w:p>
    <w:p w14:paraId="5157E381" w14:textId="1A31988A" w:rsidR="002D47D4" w:rsidRPr="005913B1" w:rsidRDefault="00A00ECD" w:rsidP="00286E0F">
      <w:pPr>
        <w:jc w:val="both"/>
        <w:rPr>
          <w:rFonts w:ascii="Garamond" w:hAnsi="Garamond"/>
          <w:sz w:val="24"/>
          <w:szCs w:val="24"/>
        </w:rPr>
      </w:pPr>
      <w:r w:rsidRPr="005913B1">
        <w:rPr>
          <w:rFonts w:ascii="Garamond" w:hAnsi="Garamond"/>
          <w:sz w:val="24"/>
          <w:szCs w:val="24"/>
        </w:rPr>
        <w:t>In s</w:t>
      </w:r>
      <w:r w:rsidR="00B0721F" w:rsidRPr="005913B1">
        <w:rPr>
          <w:rFonts w:ascii="Garamond" w:hAnsi="Garamond"/>
          <w:sz w:val="24"/>
          <w:szCs w:val="24"/>
        </w:rPr>
        <w:t>ection</w:t>
      </w:r>
      <w:r w:rsidRPr="005913B1">
        <w:rPr>
          <w:rFonts w:ascii="Garamond" w:hAnsi="Garamond"/>
          <w:sz w:val="24"/>
          <w:szCs w:val="24"/>
        </w:rPr>
        <w:t xml:space="preserve"> 10(7)</w:t>
      </w:r>
      <w:r w:rsidR="00B0721F" w:rsidRPr="005913B1">
        <w:rPr>
          <w:rFonts w:ascii="Garamond" w:hAnsi="Garamond"/>
          <w:sz w:val="24"/>
          <w:szCs w:val="24"/>
        </w:rPr>
        <w:t>,</w:t>
      </w:r>
      <w:r w:rsidRPr="005913B1">
        <w:rPr>
          <w:rFonts w:ascii="Garamond" w:hAnsi="Garamond"/>
          <w:sz w:val="24"/>
          <w:szCs w:val="24"/>
        </w:rPr>
        <w:t xml:space="preserve"> </w:t>
      </w:r>
      <w:r w:rsidR="00C86E57" w:rsidRPr="005913B1">
        <w:rPr>
          <w:rFonts w:ascii="Garamond" w:hAnsi="Garamond"/>
          <w:sz w:val="24"/>
          <w:szCs w:val="24"/>
        </w:rPr>
        <w:t>“the factory functions” is defined for the purposes of s</w:t>
      </w:r>
      <w:r w:rsidR="00B0721F" w:rsidRPr="005913B1">
        <w:rPr>
          <w:rFonts w:ascii="Garamond" w:hAnsi="Garamond"/>
          <w:sz w:val="24"/>
          <w:szCs w:val="24"/>
        </w:rPr>
        <w:t>ections</w:t>
      </w:r>
      <w:r w:rsidR="00C86E57" w:rsidRPr="005913B1">
        <w:rPr>
          <w:rFonts w:ascii="Garamond" w:hAnsi="Garamond"/>
          <w:sz w:val="24"/>
          <w:szCs w:val="24"/>
        </w:rPr>
        <w:t xml:space="preserve"> </w:t>
      </w:r>
      <w:r w:rsidR="00B0721F" w:rsidRPr="005913B1">
        <w:rPr>
          <w:rFonts w:ascii="Garamond" w:hAnsi="Garamond"/>
          <w:sz w:val="24"/>
          <w:szCs w:val="24"/>
        </w:rPr>
        <w:t>10 and</w:t>
      </w:r>
      <w:r w:rsidR="00C86E57" w:rsidRPr="005913B1">
        <w:rPr>
          <w:rFonts w:ascii="Garamond" w:hAnsi="Garamond"/>
          <w:sz w:val="24"/>
          <w:szCs w:val="24"/>
        </w:rPr>
        <w:t xml:space="preserve"> 11; however, there is no reference to “the factory functions” as such in s</w:t>
      </w:r>
      <w:r w:rsidR="00B0721F" w:rsidRPr="005913B1">
        <w:rPr>
          <w:rFonts w:ascii="Garamond" w:hAnsi="Garamond"/>
          <w:sz w:val="24"/>
          <w:szCs w:val="24"/>
        </w:rPr>
        <w:t>ection</w:t>
      </w:r>
      <w:r w:rsidR="00C86E57" w:rsidRPr="005913B1">
        <w:rPr>
          <w:rFonts w:ascii="Garamond" w:hAnsi="Garamond"/>
          <w:sz w:val="24"/>
          <w:szCs w:val="24"/>
        </w:rPr>
        <w:t xml:space="preserve"> 11. </w:t>
      </w:r>
      <w:r w:rsidR="00A61C88" w:rsidRPr="005913B1">
        <w:rPr>
          <w:rFonts w:ascii="Garamond" w:hAnsi="Garamond"/>
          <w:sz w:val="24"/>
          <w:szCs w:val="24"/>
        </w:rPr>
        <w:t>We note that s</w:t>
      </w:r>
      <w:r w:rsidR="00B0721F" w:rsidRPr="005913B1">
        <w:rPr>
          <w:rFonts w:ascii="Garamond" w:hAnsi="Garamond"/>
          <w:sz w:val="24"/>
          <w:szCs w:val="24"/>
        </w:rPr>
        <w:t>ection</w:t>
      </w:r>
      <w:r w:rsidR="00A61C88" w:rsidRPr="005913B1">
        <w:rPr>
          <w:rFonts w:ascii="Garamond" w:hAnsi="Garamond"/>
          <w:sz w:val="24"/>
          <w:szCs w:val="24"/>
        </w:rPr>
        <w:t xml:space="preserve"> 11 relates to specifying </w:t>
      </w:r>
      <w:r w:rsidR="003A5CE2" w:rsidRPr="005913B1">
        <w:rPr>
          <w:rFonts w:ascii="Garamond" w:hAnsi="Garamond"/>
          <w:sz w:val="24"/>
          <w:szCs w:val="24"/>
        </w:rPr>
        <w:t xml:space="preserve">and varying </w:t>
      </w:r>
      <w:r w:rsidR="00A61C88" w:rsidRPr="005913B1">
        <w:rPr>
          <w:rFonts w:ascii="Garamond" w:hAnsi="Garamond"/>
          <w:sz w:val="24"/>
          <w:szCs w:val="24"/>
        </w:rPr>
        <w:t xml:space="preserve">functions, </w:t>
      </w:r>
      <w:r w:rsidR="00715A50" w:rsidRPr="005913B1">
        <w:rPr>
          <w:rFonts w:ascii="Garamond" w:hAnsi="Garamond"/>
          <w:sz w:val="24"/>
          <w:szCs w:val="24"/>
        </w:rPr>
        <w:t>but also refers to the standard powers</w:t>
      </w:r>
      <w:r w:rsidR="005B5EF6" w:rsidRPr="005913B1">
        <w:rPr>
          <w:rFonts w:ascii="Garamond" w:hAnsi="Garamond"/>
          <w:sz w:val="24"/>
          <w:szCs w:val="24"/>
        </w:rPr>
        <w:t>, and in s</w:t>
      </w:r>
      <w:r w:rsidR="00B0721F" w:rsidRPr="005913B1">
        <w:rPr>
          <w:rFonts w:ascii="Garamond" w:hAnsi="Garamond"/>
          <w:sz w:val="24"/>
          <w:szCs w:val="24"/>
        </w:rPr>
        <w:t>ection</w:t>
      </w:r>
      <w:r w:rsidR="005B5EF6" w:rsidRPr="005913B1">
        <w:rPr>
          <w:rFonts w:ascii="Garamond" w:hAnsi="Garamond"/>
          <w:sz w:val="24"/>
          <w:szCs w:val="24"/>
        </w:rPr>
        <w:t xml:space="preserve"> 10(7) </w:t>
      </w:r>
      <w:r w:rsidR="000E28E2" w:rsidRPr="005913B1">
        <w:rPr>
          <w:rFonts w:ascii="Garamond" w:hAnsi="Garamond"/>
          <w:sz w:val="24"/>
          <w:szCs w:val="24"/>
        </w:rPr>
        <w:t>the factory functions includes the standard powers, but apart from in</w:t>
      </w:r>
      <w:r w:rsidR="00A61C88" w:rsidRPr="005913B1">
        <w:rPr>
          <w:rFonts w:ascii="Garamond" w:hAnsi="Garamond"/>
          <w:sz w:val="24"/>
          <w:szCs w:val="24"/>
        </w:rPr>
        <w:t xml:space="preserve"> s</w:t>
      </w:r>
      <w:r w:rsidR="00B0721F" w:rsidRPr="005913B1">
        <w:rPr>
          <w:rFonts w:ascii="Garamond" w:hAnsi="Garamond"/>
          <w:sz w:val="24"/>
          <w:szCs w:val="24"/>
        </w:rPr>
        <w:t>ection</w:t>
      </w:r>
      <w:r w:rsidR="00A61C88" w:rsidRPr="005913B1">
        <w:rPr>
          <w:rFonts w:ascii="Garamond" w:hAnsi="Garamond"/>
          <w:sz w:val="24"/>
          <w:szCs w:val="24"/>
        </w:rPr>
        <w:t xml:space="preserve"> 11(1) </w:t>
      </w:r>
      <w:r w:rsidR="000E28E2" w:rsidRPr="005913B1">
        <w:rPr>
          <w:rFonts w:ascii="Garamond" w:hAnsi="Garamond"/>
          <w:sz w:val="24"/>
          <w:szCs w:val="24"/>
        </w:rPr>
        <w:t xml:space="preserve">there are only references to functions and not to powers. </w:t>
      </w:r>
      <w:r w:rsidR="000A7DF7" w:rsidRPr="005913B1">
        <w:rPr>
          <w:rFonts w:ascii="Garamond" w:hAnsi="Garamond"/>
          <w:sz w:val="24"/>
          <w:szCs w:val="24"/>
        </w:rPr>
        <w:t xml:space="preserve">We consider that this requires clarification. </w:t>
      </w:r>
      <w:r w:rsidR="00A45BB5" w:rsidRPr="005913B1">
        <w:rPr>
          <w:rFonts w:ascii="Garamond" w:hAnsi="Garamond"/>
          <w:sz w:val="24"/>
          <w:szCs w:val="24"/>
        </w:rPr>
        <w:t xml:space="preserve">We note </w:t>
      </w:r>
      <w:r w:rsidR="00F2747D">
        <w:rPr>
          <w:rFonts w:ascii="Garamond" w:hAnsi="Garamond"/>
          <w:sz w:val="24"/>
          <w:szCs w:val="24"/>
        </w:rPr>
        <w:t>what is stated in</w:t>
      </w:r>
      <w:r w:rsidR="00A45BB5" w:rsidRPr="005913B1">
        <w:rPr>
          <w:rFonts w:ascii="Garamond" w:hAnsi="Garamond"/>
          <w:sz w:val="24"/>
          <w:szCs w:val="24"/>
        </w:rPr>
        <w:t xml:space="preserve"> the Policy Memorandum</w:t>
      </w:r>
      <w:r w:rsidR="00154EAB" w:rsidRPr="005913B1">
        <w:rPr>
          <w:rFonts w:ascii="Garamond" w:hAnsi="Garamond"/>
          <w:sz w:val="24"/>
          <w:szCs w:val="24"/>
        </w:rPr>
        <w:t>, para 55,</w:t>
      </w:r>
      <w:r w:rsidR="00A45BB5" w:rsidRPr="005913B1">
        <w:rPr>
          <w:rFonts w:ascii="Garamond" w:hAnsi="Garamond"/>
          <w:sz w:val="24"/>
          <w:szCs w:val="24"/>
        </w:rPr>
        <w:t xml:space="preserve"> </w:t>
      </w:r>
      <w:r w:rsidR="001D196A" w:rsidRPr="005913B1">
        <w:rPr>
          <w:rFonts w:ascii="Garamond" w:hAnsi="Garamond"/>
          <w:sz w:val="24"/>
          <w:szCs w:val="24"/>
        </w:rPr>
        <w:t xml:space="preserve">but we do not think the desired effect has been </w:t>
      </w:r>
      <w:r w:rsidR="00CA21AA" w:rsidRPr="005913B1">
        <w:rPr>
          <w:rFonts w:ascii="Garamond" w:hAnsi="Garamond"/>
          <w:sz w:val="24"/>
          <w:szCs w:val="24"/>
        </w:rPr>
        <w:t xml:space="preserve">achieved. </w:t>
      </w:r>
    </w:p>
    <w:p w14:paraId="443F5378" w14:textId="77F84F93" w:rsidR="006D5AC2" w:rsidRPr="005913B1" w:rsidRDefault="00286E0F" w:rsidP="00286E0F">
      <w:pPr>
        <w:jc w:val="both"/>
        <w:rPr>
          <w:rFonts w:ascii="Garamond" w:hAnsi="Garamond"/>
          <w:sz w:val="24"/>
          <w:szCs w:val="24"/>
        </w:rPr>
      </w:pPr>
      <w:r>
        <w:rPr>
          <w:rFonts w:ascii="Garamond" w:hAnsi="Garamond"/>
          <w:sz w:val="24"/>
          <w:szCs w:val="24"/>
        </w:rPr>
        <w:lastRenderedPageBreak/>
        <w:t>With reference to section</w:t>
      </w:r>
      <w:r w:rsidR="00852560">
        <w:rPr>
          <w:rFonts w:ascii="Garamond" w:hAnsi="Garamond"/>
          <w:sz w:val="24"/>
          <w:szCs w:val="24"/>
        </w:rPr>
        <w:t xml:space="preserve"> 12</w:t>
      </w:r>
      <w:r>
        <w:rPr>
          <w:rFonts w:ascii="Garamond" w:hAnsi="Garamond"/>
          <w:sz w:val="24"/>
          <w:szCs w:val="24"/>
        </w:rPr>
        <w:t>,</w:t>
      </w:r>
      <w:r w:rsidR="00852560">
        <w:rPr>
          <w:rFonts w:ascii="Garamond" w:hAnsi="Garamond"/>
          <w:sz w:val="24"/>
          <w:szCs w:val="24"/>
        </w:rPr>
        <w:t xml:space="preserve"> </w:t>
      </w:r>
      <w:r w:rsidR="00F3260B">
        <w:rPr>
          <w:rFonts w:ascii="Garamond" w:hAnsi="Garamond"/>
          <w:sz w:val="24"/>
          <w:szCs w:val="24"/>
        </w:rPr>
        <w:t>attention</w:t>
      </w:r>
      <w:r w:rsidR="0020063E">
        <w:rPr>
          <w:rFonts w:ascii="Garamond" w:hAnsi="Garamond"/>
          <w:sz w:val="24"/>
          <w:szCs w:val="24"/>
        </w:rPr>
        <w:t xml:space="preserve"> should be given to whether</w:t>
      </w:r>
      <w:r w:rsidR="00F3260B">
        <w:rPr>
          <w:rFonts w:ascii="Garamond" w:hAnsi="Garamond"/>
          <w:sz w:val="24"/>
          <w:szCs w:val="24"/>
        </w:rPr>
        <w:t xml:space="preserve"> there should be additional exclusions</w:t>
      </w:r>
      <w:r w:rsidR="00D74D50">
        <w:rPr>
          <w:rFonts w:ascii="Garamond" w:hAnsi="Garamond"/>
          <w:sz w:val="24"/>
          <w:szCs w:val="24"/>
        </w:rPr>
        <w:t>. While the exclusion of</w:t>
      </w:r>
      <w:r w:rsidR="0020063E">
        <w:rPr>
          <w:rFonts w:ascii="Garamond" w:hAnsi="Garamond"/>
          <w:sz w:val="24"/>
          <w:szCs w:val="24"/>
        </w:rPr>
        <w:t xml:space="preserve"> commercially sensitive information </w:t>
      </w:r>
      <w:r w:rsidR="00D74D50">
        <w:rPr>
          <w:rFonts w:ascii="Garamond" w:hAnsi="Garamond"/>
          <w:sz w:val="24"/>
          <w:szCs w:val="24"/>
        </w:rPr>
        <w:t xml:space="preserve">might be </w:t>
      </w:r>
      <w:r w:rsidR="00747D59">
        <w:rPr>
          <w:rFonts w:ascii="Garamond" w:hAnsi="Garamond"/>
          <w:sz w:val="24"/>
          <w:szCs w:val="24"/>
        </w:rPr>
        <w:t xml:space="preserve">a possibility this could be misused in some </w:t>
      </w:r>
      <w:r w:rsidR="009D36D1">
        <w:rPr>
          <w:rFonts w:ascii="Garamond" w:hAnsi="Garamond"/>
          <w:sz w:val="24"/>
          <w:szCs w:val="24"/>
        </w:rPr>
        <w:t xml:space="preserve">cases, a stronger argument could be made in favour of excluding </w:t>
      </w:r>
      <w:r w:rsidR="004C4F27">
        <w:rPr>
          <w:rFonts w:ascii="Garamond" w:hAnsi="Garamond"/>
          <w:sz w:val="24"/>
          <w:szCs w:val="24"/>
        </w:rPr>
        <w:t xml:space="preserve">information </w:t>
      </w:r>
      <w:proofErr w:type="gramStart"/>
      <w:r w:rsidR="004C4F27">
        <w:rPr>
          <w:rFonts w:ascii="Garamond" w:hAnsi="Garamond"/>
          <w:sz w:val="24"/>
          <w:szCs w:val="24"/>
        </w:rPr>
        <w:t>on the basis of</w:t>
      </w:r>
      <w:proofErr w:type="gramEnd"/>
      <w:r w:rsidR="004C4F27">
        <w:rPr>
          <w:rFonts w:ascii="Garamond" w:hAnsi="Garamond"/>
          <w:sz w:val="24"/>
          <w:szCs w:val="24"/>
        </w:rPr>
        <w:t xml:space="preserve"> professional privilege</w:t>
      </w:r>
      <w:r w:rsidR="00A12609">
        <w:rPr>
          <w:rFonts w:ascii="Garamond" w:hAnsi="Garamond"/>
          <w:sz w:val="24"/>
          <w:szCs w:val="24"/>
        </w:rPr>
        <w:t>.</w:t>
      </w:r>
      <w:r w:rsidR="004C4F27">
        <w:rPr>
          <w:rFonts w:ascii="Garamond" w:hAnsi="Garamond"/>
          <w:sz w:val="24"/>
          <w:szCs w:val="24"/>
        </w:rPr>
        <w:t xml:space="preserve"> Perhaps the most appropriate approach would be to a</w:t>
      </w:r>
      <w:r w:rsidR="008E4969">
        <w:rPr>
          <w:rFonts w:ascii="Garamond" w:hAnsi="Garamond"/>
          <w:sz w:val="24"/>
          <w:szCs w:val="24"/>
        </w:rPr>
        <w:t xml:space="preserve">lso </w:t>
      </w:r>
      <w:r w:rsidR="009B53C4">
        <w:rPr>
          <w:rFonts w:ascii="Garamond" w:hAnsi="Garamond"/>
          <w:sz w:val="24"/>
          <w:szCs w:val="24"/>
        </w:rPr>
        <w:t xml:space="preserve">exclude disclosure of information where there is </w:t>
      </w:r>
      <w:r w:rsidR="004A0600">
        <w:rPr>
          <w:rFonts w:ascii="Garamond" w:hAnsi="Garamond"/>
          <w:sz w:val="24"/>
          <w:szCs w:val="24"/>
        </w:rPr>
        <w:t>“any other statutory provision or rule of law which prevents or excuses its disclosure”.</w:t>
      </w:r>
    </w:p>
    <w:p w14:paraId="02DBDC19" w14:textId="10CF3773" w:rsidR="00A358F9" w:rsidRPr="005913B1" w:rsidRDefault="00AC045A" w:rsidP="00286E0F">
      <w:pPr>
        <w:jc w:val="both"/>
        <w:rPr>
          <w:rFonts w:ascii="Garamond" w:hAnsi="Garamond"/>
          <w:sz w:val="24"/>
          <w:szCs w:val="24"/>
        </w:rPr>
      </w:pPr>
      <w:r w:rsidRPr="005913B1">
        <w:rPr>
          <w:rFonts w:ascii="Garamond" w:hAnsi="Garamond"/>
          <w:sz w:val="24"/>
          <w:szCs w:val="24"/>
        </w:rPr>
        <w:t>In s</w:t>
      </w:r>
      <w:r w:rsidR="00B0721F" w:rsidRPr="005913B1">
        <w:rPr>
          <w:rFonts w:ascii="Garamond" w:hAnsi="Garamond"/>
          <w:sz w:val="24"/>
          <w:szCs w:val="24"/>
        </w:rPr>
        <w:t>ection</w:t>
      </w:r>
      <w:r w:rsidRPr="005913B1">
        <w:rPr>
          <w:rFonts w:ascii="Garamond" w:hAnsi="Garamond"/>
          <w:sz w:val="24"/>
          <w:szCs w:val="24"/>
        </w:rPr>
        <w:t xml:space="preserve"> 13(4), “financial assets” is defined as meaning “cash accounts”, “share certificates” and “other assets of a similar nature”.</w:t>
      </w:r>
      <w:r w:rsidR="0044694A" w:rsidRPr="005913B1">
        <w:rPr>
          <w:rFonts w:ascii="Garamond" w:hAnsi="Garamond"/>
          <w:sz w:val="24"/>
          <w:szCs w:val="24"/>
        </w:rPr>
        <w:t xml:space="preserve"> It is not entirely c</w:t>
      </w:r>
      <w:r w:rsidR="00C64D86">
        <w:rPr>
          <w:rFonts w:ascii="Garamond" w:hAnsi="Garamond"/>
          <w:sz w:val="24"/>
          <w:szCs w:val="24"/>
        </w:rPr>
        <w:t>lear</w:t>
      </w:r>
      <w:r w:rsidR="0044694A" w:rsidRPr="005913B1">
        <w:rPr>
          <w:rFonts w:ascii="Garamond" w:hAnsi="Garamond"/>
          <w:sz w:val="24"/>
          <w:szCs w:val="24"/>
        </w:rPr>
        <w:t xml:space="preserve"> to us why these </w:t>
      </w:r>
      <w:proofErr w:type="gramStart"/>
      <w:r w:rsidR="0044694A" w:rsidRPr="005913B1">
        <w:rPr>
          <w:rFonts w:ascii="Garamond" w:hAnsi="Garamond"/>
          <w:sz w:val="24"/>
          <w:szCs w:val="24"/>
        </w:rPr>
        <w:t>particular assets</w:t>
      </w:r>
      <w:proofErr w:type="gramEnd"/>
      <w:r w:rsidR="0044694A" w:rsidRPr="005913B1">
        <w:rPr>
          <w:rFonts w:ascii="Garamond" w:hAnsi="Garamond"/>
          <w:sz w:val="24"/>
          <w:szCs w:val="24"/>
        </w:rPr>
        <w:t xml:space="preserve"> have been singled out </w:t>
      </w:r>
      <w:r w:rsidR="00BB65E3" w:rsidRPr="005913B1">
        <w:rPr>
          <w:rFonts w:ascii="Garamond" w:hAnsi="Garamond"/>
          <w:sz w:val="24"/>
          <w:szCs w:val="24"/>
        </w:rPr>
        <w:t>and</w:t>
      </w:r>
      <w:r w:rsidR="00F35631" w:rsidRPr="005913B1">
        <w:rPr>
          <w:rFonts w:ascii="Garamond" w:hAnsi="Garamond"/>
          <w:sz w:val="24"/>
          <w:szCs w:val="24"/>
        </w:rPr>
        <w:t xml:space="preserve"> why there is only specific reference to cash accounts and share certificates.</w:t>
      </w:r>
    </w:p>
    <w:p w14:paraId="2694B7C4" w14:textId="77777777" w:rsidR="008B302A" w:rsidRPr="005913B1" w:rsidRDefault="008B302A" w:rsidP="00286E0F">
      <w:pPr>
        <w:jc w:val="both"/>
        <w:rPr>
          <w:rFonts w:ascii="Garamond" w:hAnsi="Garamond"/>
          <w:b/>
          <w:bCs/>
          <w:sz w:val="24"/>
          <w:szCs w:val="24"/>
          <w:u w:val="single"/>
        </w:rPr>
      </w:pPr>
    </w:p>
    <w:p w14:paraId="5BBCE70C" w14:textId="78F8A221" w:rsidR="008B302A" w:rsidRPr="005913B1" w:rsidRDefault="008B302A" w:rsidP="00286E0F">
      <w:pPr>
        <w:jc w:val="both"/>
        <w:rPr>
          <w:rFonts w:ascii="Garamond" w:hAnsi="Garamond"/>
          <w:b/>
          <w:bCs/>
          <w:sz w:val="24"/>
          <w:szCs w:val="24"/>
          <w:u w:val="single"/>
        </w:rPr>
      </w:pPr>
      <w:r w:rsidRPr="005913B1">
        <w:rPr>
          <w:rFonts w:ascii="Garamond" w:hAnsi="Garamond"/>
          <w:b/>
          <w:bCs/>
          <w:sz w:val="24"/>
          <w:szCs w:val="24"/>
          <w:u w:val="single"/>
        </w:rPr>
        <w:t>Question page 2</w:t>
      </w:r>
    </w:p>
    <w:p w14:paraId="42A4D56D" w14:textId="5FD56CD8" w:rsidR="008B302A" w:rsidRPr="005913B1" w:rsidRDefault="008B302A" w:rsidP="00286E0F">
      <w:pPr>
        <w:jc w:val="both"/>
        <w:rPr>
          <w:rFonts w:ascii="Garamond" w:hAnsi="Garamond"/>
          <w:sz w:val="24"/>
          <w:szCs w:val="24"/>
          <w:u w:val="single"/>
        </w:rPr>
      </w:pPr>
      <w:r w:rsidRPr="005913B1">
        <w:rPr>
          <w:rFonts w:ascii="Garamond" w:hAnsi="Garamond"/>
          <w:sz w:val="24"/>
          <w:szCs w:val="24"/>
          <w:u w:val="single"/>
        </w:rPr>
        <w:t>1. Part 3 of the Bill covers the legal relationships which, as part of the process of managing the estate, the judicial factor might create with individuals or organisations not otherwise connected to the estate. What are your views on Part 3 of the Bill?</w:t>
      </w:r>
    </w:p>
    <w:p w14:paraId="0267B036" w14:textId="685B2F97" w:rsidR="008B302A" w:rsidRPr="005913B1" w:rsidRDefault="008B302A" w:rsidP="00286E0F">
      <w:pPr>
        <w:jc w:val="both"/>
        <w:rPr>
          <w:rFonts w:ascii="Garamond" w:hAnsi="Garamond"/>
          <w:b/>
          <w:bCs/>
          <w:sz w:val="24"/>
          <w:szCs w:val="24"/>
        </w:rPr>
      </w:pPr>
      <w:r w:rsidRPr="005913B1">
        <w:rPr>
          <w:rFonts w:ascii="Garamond" w:hAnsi="Garamond"/>
          <w:b/>
          <w:bCs/>
          <w:sz w:val="24"/>
          <w:szCs w:val="24"/>
        </w:rPr>
        <w:t xml:space="preserve">Information: </w:t>
      </w:r>
    </w:p>
    <w:p w14:paraId="489C9B00"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Part 3 makes it clear that, legally, the judicial factor takes the place of those who otherwise would be responsible for the estate in any relationships created with those not otherwise connected to the estate. Part 3 also contains specific proposals including:</w:t>
      </w:r>
    </w:p>
    <w:p w14:paraId="3AF33820"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certain protections for a buyer of property who purchases that property from an estate managed by a judicial factor (section 20)</w:t>
      </w:r>
    </w:p>
    <w:p w14:paraId="1FBCF766"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if a judicial factor is involved in court proceedings on behalf of the estate, Part 3 says any legal costs associated with this will come out of the estate (section 23)</w:t>
      </w:r>
    </w:p>
    <w:p w14:paraId="2F6BBA61"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if a court decides a judicial factor must pay financial damages (compensation), the general rule in Part 3 is that the damages will come out of the estate, but with some discretion for the court to decide otherwise in a particular case (section 24).</w:t>
      </w:r>
    </w:p>
    <w:p w14:paraId="647B2582" w14:textId="77777777" w:rsidR="00B005F5" w:rsidRPr="005913B1" w:rsidRDefault="00B005F5" w:rsidP="00286E0F">
      <w:pPr>
        <w:jc w:val="both"/>
        <w:rPr>
          <w:rFonts w:ascii="Garamond" w:hAnsi="Garamond"/>
          <w:sz w:val="24"/>
          <w:szCs w:val="24"/>
        </w:rPr>
      </w:pPr>
    </w:p>
    <w:p w14:paraId="6B6B9700" w14:textId="433A762F" w:rsidR="008B302A" w:rsidRPr="005913B1" w:rsidRDefault="0075459C" w:rsidP="00286E0F">
      <w:pPr>
        <w:jc w:val="both"/>
        <w:rPr>
          <w:rFonts w:ascii="Garamond" w:hAnsi="Garamond"/>
          <w:sz w:val="24"/>
          <w:szCs w:val="24"/>
        </w:rPr>
      </w:pPr>
      <w:r w:rsidRPr="005913B1">
        <w:rPr>
          <w:rFonts w:ascii="Garamond" w:hAnsi="Garamond"/>
          <w:sz w:val="24"/>
          <w:szCs w:val="24"/>
        </w:rPr>
        <w:t>The wording “</w:t>
      </w:r>
      <w:r w:rsidR="00B005F5" w:rsidRPr="005913B1">
        <w:rPr>
          <w:rFonts w:ascii="Garamond" w:hAnsi="Garamond"/>
          <w:sz w:val="24"/>
          <w:szCs w:val="24"/>
        </w:rPr>
        <w:t>stands in place of the factory estate”</w:t>
      </w:r>
      <w:r w:rsidRPr="005913B1">
        <w:rPr>
          <w:rFonts w:ascii="Garamond" w:hAnsi="Garamond"/>
          <w:sz w:val="24"/>
          <w:szCs w:val="24"/>
        </w:rPr>
        <w:t xml:space="preserve"> does not seem to be appropriate</w:t>
      </w:r>
      <w:r w:rsidR="00B005F5" w:rsidRPr="005913B1">
        <w:rPr>
          <w:rFonts w:ascii="Garamond" w:hAnsi="Garamond"/>
          <w:sz w:val="24"/>
          <w:szCs w:val="24"/>
        </w:rPr>
        <w:t>. The judicial factor does</w:t>
      </w:r>
      <w:r w:rsidRPr="005913B1">
        <w:rPr>
          <w:rFonts w:ascii="Garamond" w:hAnsi="Garamond"/>
          <w:sz w:val="24"/>
          <w:szCs w:val="24"/>
        </w:rPr>
        <w:t xml:space="preserve"> not</w:t>
      </w:r>
      <w:r w:rsidR="00B005F5" w:rsidRPr="005913B1">
        <w:rPr>
          <w:rFonts w:ascii="Garamond" w:hAnsi="Garamond"/>
          <w:sz w:val="24"/>
          <w:szCs w:val="24"/>
        </w:rPr>
        <w:t xml:space="preserve"> stand in place of the estate, </w:t>
      </w:r>
      <w:r w:rsidRPr="005913B1">
        <w:rPr>
          <w:rFonts w:ascii="Garamond" w:hAnsi="Garamond"/>
          <w:sz w:val="24"/>
          <w:szCs w:val="24"/>
        </w:rPr>
        <w:t>which itself has no legal personality. R</w:t>
      </w:r>
      <w:r w:rsidR="00B005F5" w:rsidRPr="005913B1">
        <w:rPr>
          <w:rFonts w:ascii="Garamond" w:hAnsi="Garamond"/>
          <w:sz w:val="24"/>
          <w:szCs w:val="24"/>
        </w:rPr>
        <w:t xml:space="preserve">ather, they stand in the place of the debtor, </w:t>
      </w:r>
      <w:r w:rsidRPr="005913B1">
        <w:rPr>
          <w:rFonts w:ascii="Garamond" w:hAnsi="Garamond"/>
          <w:sz w:val="24"/>
          <w:szCs w:val="24"/>
        </w:rPr>
        <w:t xml:space="preserve">or other party in whom the estate </w:t>
      </w:r>
      <w:r w:rsidR="00075EFC" w:rsidRPr="005913B1">
        <w:rPr>
          <w:rFonts w:ascii="Garamond" w:hAnsi="Garamond"/>
          <w:sz w:val="24"/>
          <w:szCs w:val="24"/>
        </w:rPr>
        <w:t>was previously vested</w:t>
      </w:r>
      <w:r w:rsidR="00FC4F2B" w:rsidRPr="005913B1">
        <w:rPr>
          <w:rFonts w:ascii="Garamond" w:hAnsi="Garamond"/>
          <w:sz w:val="24"/>
          <w:szCs w:val="24"/>
        </w:rPr>
        <w:t>. More appropriately, the judicial factor</w:t>
      </w:r>
      <w:r w:rsidR="00B005F5" w:rsidRPr="005913B1">
        <w:rPr>
          <w:rFonts w:ascii="Garamond" w:hAnsi="Garamond"/>
          <w:sz w:val="24"/>
          <w:szCs w:val="24"/>
        </w:rPr>
        <w:t xml:space="preserve"> could be considered to </w:t>
      </w:r>
      <w:r w:rsidR="00FC4F2B" w:rsidRPr="005913B1">
        <w:rPr>
          <w:rFonts w:ascii="Garamond" w:hAnsi="Garamond"/>
          <w:sz w:val="24"/>
          <w:szCs w:val="24"/>
        </w:rPr>
        <w:t xml:space="preserve">be </w:t>
      </w:r>
      <w:r w:rsidR="004918F7">
        <w:rPr>
          <w:rFonts w:ascii="Garamond" w:hAnsi="Garamond"/>
          <w:sz w:val="24"/>
          <w:szCs w:val="24"/>
        </w:rPr>
        <w:t>an</w:t>
      </w:r>
      <w:r w:rsidR="00B005F5" w:rsidRPr="005913B1">
        <w:rPr>
          <w:rFonts w:ascii="Garamond" w:hAnsi="Garamond"/>
          <w:sz w:val="24"/>
          <w:szCs w:val="24"/>
        </w:rPr>
        <w:t xml:space="preserve"> agent/representative in relation to the estate.</w:t>
      </w:r>
      <w:r w:rsidR="00E359B9" w:rsidRPr="005913B1">
        <w:rPr>
          <w:rFonts w:ascii="Garamond" w:hAnsi="Garamond"/>
          <w:sz w:val="24"/>
          <w:szCs w:val="24"/>
        </w:rPr>
        <w:t xml:space="preserve"> </w:t>
      </w:r>
      <w:r w:rsidR="004918F7">
        <w:rPr>
          <w:rFonts w:ascii="Garamond" w:hAnsi="Garamond"/>
          <w:sz w:val="24"/>
          <w:szCs w:val="24"/>
        </w:rPr>
        <w:t>In addition, c</w:t>
      </w:r>
      <w:r w:rsidR="00E359B9" w:rsidRPr="005913B1">
        <w:rPr>
          <w:rFonts w:ascii="Garamond" w:hAnsi="Garamond"/>
          <w:sz w:val="24"/>
          <w:szCs w:val="24"/>
        </w:rPr>
        <w:t>onsider</w:t>
      </w:r>
      <w:r w:rsidR="004918F7">
        <w:rPr>
          <w:rFonts w:ascii="Garamond" w:hAnsi="Garamond"/>
          <w:sz w:val="24"/>
          <w:szCs w:val="24"/>
        </w:rPr>
        <w:t>ation should be given to</w:t>
      </w:r>
      <w:r w:rsidR="00E359B9" w:rsidRPr="005913B1">
        <w:rPr>
          <w:rFonts w:ascii="Garamond" w:hAnsi="Garamond"/>
          <w:sz w:val="24"/>
          <w:szCs w:val="24"/>
        </w:rPr>
        <w:t xml:space="preserve"> whether the wording of </w:t>
      </w:r>
      <w:r w:rsidR="00962A83" w:rsidRPr="005913B1">
        <w:rPr>
          <w:rFonts w:ascii="Garamond" w:hAnsi="Garamond"/>
          <w:sz w:val="24"/>
          <w:szCs w:val="24"/>
        </w:rPr>
        <w:t>s</w:t>
      </w:r>
      <w:r w:rsidR="00B0721F" w:rsidRPr="005913B1">
        <w:rPr>
          <w:rFonts w:ascii="Garamond" w:hAnsi="Garamond"/>
          <w:sz w:val="24"/>
          <w:szCs w:val="24"/>
        </w:rPr>
        <w:t>ection</w:t>
      </w:r>
      <w:r w:rsidR="00962A83" w:rsidRPr="005913B1">
        <w:rPr>
          <w:rFonts w:ascii="Garamond" w:hAnsi="Garamond"/>
          <w:sz w:val="24"/>
          <w:szCs w:val="24"/>
        </w:rPr>
        <w:t xml:space="preserve"> 21(a) and (b) </w:t>
      </w:r>
      <w:r w:rsidR="002B0AF3" w:rsidRPr="005913B1">
        <w:rPr>
          <w:rFonts w:ascii="Garamond" w:hAnsi="Garamond"/>
          <w:sz w:val="24"/>
          <w:szCs w:val="24"/>
        </w:rPr>
        <w:t>would also need to be re-worded as a result</w:t>
      </w:r>
      <w:r w:rsidR="00BA4F3A" w:rsidRPr="005913B1">
        <w:rPr>
          <w:rFonts w:ascii="Garamond" w:hAnsi="Garamond"/>
          <w:sz w:val="24"/>
          <w:szCs w:val="24"/>
        </w:rPr>
        <w:t>.</w:t>
      </w:r>
    </w:p>
    <w:p w14:paraId="4B800E89" w14:textId="01376CD7" w:rsidR="008B302A" w:rsidRPr="005913B1" w:rsidRDefault="00993C1B" w:rsidP="00286E0F">
      <w:pPr>
        <w:jc w:val="both"/>
        <w:rPr>
          <w:rFonts w:ascii="Garamond" w:hAnsi="Garamond"/>
          <w:sz w:val="24"/>
          <w:szCs w:val="24"/>
        </w:rPr>
      </w:pPr>
      <w:r w:rsidRPr="005913B1">
        <w:rPr>
          <w:rFonts w:ascii="Garamond" w:hAnsi="Garamond"/>
          <w:sz w:val="24"/>
          <w:szCs w:val="24"/>
        </w:rPr>
        <w:t>With reference to Sch</w:t>
      </w:r>
      <w:r w:rsidR="00B0721F" w:rsidRPr="005913B1">
        <w:rPr>
          <w:rFonts w:ascii="Garamond" w:hAnsi="Garamond"/>
          <w:sz w:val="24"/>
          <w:szCs w:val="24"/>
        </w:rPr>
        <w:t>edule</w:t>
      </w:r>
      <w:r w:rsidRPr="005913B1">
        <w:rPr>
          <w:rFonts w:ascii="Garamond" w:hAnsi="Garamond"/>
          <w:sz w:val="24"/>
          <w:szCs w:val="24"/>
        </w:rPr>
        <w:t>s 2 and 3, there are other sections of the Bankruptcy (Scotland) Act 2016 that refer to judicial factors appointed under the 1889 Act. See s</w:t>
      </w:r>
      <w:r w:rsidR="00B0721F" w:rsidRPr="005913B1">
        <w:rPr>
          <w:rFonts w:ascii="Garamond" w:hAnsi="Garamond"/>
          <w:sz w:val="24"/>
          <w:szCs w:val="24"/>
        </w:rPr>
        <w:t>ection</w:t>
      </w:r>
      <w:r w:rsidRPr="005913B1">
        <w:rPr>
          <w:rFonts w:ascii="Garamond" w:hAnsi="Garamond"/>
          <w:sz w:val="24"/>
          <w:szCs w:val="24"/>
        </w:rPr>
        <w:t>s 25</w:t>
      </w:r>
      <w:r w:rsidR="00C16F40" w:rsidRPr="005913B1">
        <w:rPr>
          <w:rFonts w:ascii="Garamond" w:hAnsi="Garamond"/>
          <w:sz w:val="24"/>
          <w:szCs w:val="24"/>
        </w:rPr>
        <w:t>,</w:t>
      </w:r>
      <w:r w:rsidRPr="005913B1">
        <w:rPr>
          <w:rFonts w:ascii="Garamond" w:hAnsi="Garamond"/>
          <w:sz w:val="24"/>
          <w:szCs w:val="24"/>
        </w:rPr>
        <w:t xml:space="preserve"> 98-100</w:t>
      </w:r>
      <w:r w:rsidR="00C16F40" w:rsidRPr="005913B1">
        <w:rPr>
          <w:rFonts w:ascii="Garamond" w:hAnsi="Garamond"/>
          <w:sz w:val="24"/>
          <w:szCs w:val="24"/>
        </w:rPr>
        <w:t>, 107 and Sch</w:t>
      </w:r>
      <w:r w:rsidR="00BF6911">
        <w:rPr>
          <w:rFonts w:ascii="Garamond" w:hAnsi="Garamond"/>
          <w:sz w:val="24"/>
          <w:szCs w:val="24"/>
        </w:rPr>
        <w:t>edule</w:t>
      </w:r>
      <w:r w:rsidR="00C16F40" w:rsidRPr="005913B1">
        <w:rPr>
          <w:rFonts w:ascii="Garamond" w:hAnsi="Garamond"/>
          <w:sz w:val="24"/>
          <w:szCs w:val="24"/>
        </w:rPr>
        <w:t xml:space="preserve"> 8, para</w:t>
      </w:r>
      <w:r w:rsidR="00BF6911">
        <w:rPr>
          <w:rFonts w:ascii="Garamond" w:hAnsi="Garamond"/>
          <w:sz w:val="24"/>
          <w:szCs w:val="24"/>
        </w:rPr>
        <w:t>graph</w:t>
      </w:r>
      <w:r w:rsidR="00C16F40" w:rsidRPr="005913B1">
        <w:rPr>
          <w:rFonts w:ascii="Garamond" w:hAnsi="Garamond"/>
          <w:sz w:val="24"/>
          <w:szCs w:val="24"/>
        </w:rPr>
        <w:t xml:space="preserve"> 1</w:t>
      </w:r>
      <w:r w:rsidRPr="005913B1">
        <w:rPr>
          <w:rFonts w:ascii="Garamond" w:hAnsi="Garamond"/>
          <w:sz w:val="24"/>
          <w:szCs w:val="24"/>
        </w:rPr>
        <w:t xml:space="preserve">. </w:t>
      </w:r>
      <w:r w:rsidR="00C64D86">
        <w:rPr>
          <w:rFonts w:ascii="Garamond" w:hAnsi="Garamond"/>
          <w:sz w:val="24"/>
          <w:szCs w:val="24"/>
        </w:rPr>
        <w:t>It</w:t>
      </w:r>
      <w:r w:rsidRPr="005913B1">
        <w:rPr>
          <w:rFonts w:ascii="Garamond" w:hAnsi="Garamond"/>
          <w:sz w:val="24"/>
          <w:szCs w:val="24"/>
        </w:rPr>
        <w:t xml:space="preserve"> may be plann</w:t>
      </w:r>
      <w:r w:rsidR="00C64D86">
        <w:rPr>
          <w:rFonts w:ascii="Garamond" w:hAnsi="Garamond"/>
          <w:sz w:val="24"/>
          <w:szCs w:val="24"/>
        </w:rPr>
        <w:t>ed</w:t>
      </w:r>
      <w:r w:rsidRPr="005913B1">
        <w:rPr>
          <w:rFonts w:ascii="Garamond" w:hAnsi="Garamond"/>
          <w:sz w:val="24"/>
          <w:szCs w:val="24"/>
        </w:rPr>
        <w:t xml:space="preserve"> to deal with these under consequential </w:t>
      </w:r>
      <w:proofErr w:type="gramStart"/>
      <w:r w:rsidRPr="005913B1">
        <w:rPr>
          <w:rFonts w:ascii="Garamond" w:hAnsi="Garamond"/>
          <w:sz w:val="24"/>
          <w:szCs w:val="24"/>
        </w:rPr>
        <w:t>amendments</w:t>
      </w:r>
      <w:proofErr w:type="gramEnd"/>
      <w:r w:rsidRPr="005913B1">
        <w:rPr>
          <w:rFonts w:ascii="Garamond" w:hAnsi="Garamond"/>
          <w:sz w:val="24"/>
          <w:szCs w:val="24"/>
        </w:rPr>
        <w:t xml:space="preserve"> but it</w:t>
      </w:r>
      <w:r w:rsidR="00391244" w:rsidRPr="005913B1">
        <w:rPr>
          <w:rFonts w:ascii="Garamond" w:hAnsi="Garamond"/>
          <w:sz w:val="24"/>
          <w:szCs w:val="24"/>
        </w:rPr>
        <w:t xml:space="preserve"> i</w:t>
      </w:r>
      <w:r w:rsidRPr="005913B1">
        <w:rPr>
          <w:rFonts w:ascii="Garamond" w:hAnsi="Garamond"/>
          <w:sz w:val="24"/>
          <w:szCs w:val="24"/>
        </w:rPr>
        <w:t xml:space="preserve">s important that these </w:t>
      </w:r>
      <w:r w:rsidR="00B57DCA">
        <w:rPr>
          <w:rFonts w:ascii="Garamond" w:hAnsi="Garamond"/>
          <w:sz w:val="24"/>
          <w:szCs w:val="24"/>
        </w:rPr>
        <w:t xml:space="preserve">matters </w:t>
      </w:r>
      <w:r w:rsidRPr="005913B1">
        <w:rPr>
          <w:rFonts w:ascii="Garamond" w:hAnsi="Garamond"/>
          <w:sz w:val="24"/>
          <w:szCs w:val="24"/>
        </w:rPr>
        <w:t xml:space="preserve">are actually </w:t>
      </w:r>
      <w:r w:rsidR="00B57DCA">
        <w:rPr>
          <w:rFonts w:ascii="Garamond" w:hAnsi="Garamond"/>
          <w:sz w:val="24"/>
          <w:szCs w:val="24"/>
        </w:rPr>
        <w:t>addressed</w:t>
      </w:r>
      <w:r w:rsidRPr="005913B1">
        <w:rPr>
          <w:rFonts w:ascii="Garamond" w:hAnsi="Garamond"/>
          <w:sz w:val="24"/>
          <w:szCs w:val="24"/>
        </w:rPr>
        <w:t>.</w:t>
      </w:r>
    </w:p>
    <w:p w14:paraId="312EEEF4" w14:textId="77777777" w:rsidR="008B302A" w:rsidRPr="005913B1" w:rsidRDefault="008B302A" w:rsidP="00286E0F">
      <w:pPr>
        <w:jc w:val="both"/>
        <w:rPr>
          <w:rFonts w:ascii="Garamond" w:hAnsi="Garamond"/>
          <w:sz w:val="24"/>
          <w:szCs w:val="24"/>
          <w:u w:val="single"/>
        </w:rPr>
      </w:pPr>
    </w:p>
    <w:p w14:paraId="52D9E92A" w14:textId="0ABA8938" w:rsidR="008B302A" w:rsidRPr="005913B1" w:rsidRDefault="008B302A" w:rsidP="00286E0F">
      <w:pPr>
        <w:jc w:val="both"/>
        <w:rPr>
          <w:rFonts w:ascii="Garamond" w:hAnsi="Garamond"/>
          <w:sz w:val="24"/>
          <w:szCs w:val="24"/>
          <w:u w:val="single"/>
        </w:rPr>
      </w:pPr>
      <w:r w:rsidRPr="005913B1">
        <w:rPr>
          <w:rFonts w:ascii="Garamond" w:hAnsi="Garamond"/>
          <w:sz w:val="24"/>
          <w:szCs w:val="24"/>
          <w:u w:val="single"/>
        </w:rPr>
        <w:t>2. Part 4 of the Bill sets out the procedures for distributing the estate and ending a judicial factor’s involvement in an estate. What are your views on Part 4 of the Bill?</w:t>
      </w:r>
    </w:p>
    <w:p w14:paraId="0CD2C681" w14:textId="4B710469" w:rsidR="008B302A" w:rsidRPr="00286E0F" w:rsidRDefault="008B302A" w:rsidP="00286E0F">
      <w:pPr>
        <w:jc w:val="both"/>
        <w:rPr>
          <w:rFonts w:ascii="Garamond" w:hAnsi="Garamond"/>
          <w:b/>
          <w:bCs/>
          <w:sz w:val="24"/>
          <w:szCs w:val="24"/>
        </w:rPr>
      </w:pPr>
      <w:r w:rsidRPr="005913B1">
        <w:rPr>
          <w:rFonts w:ascii="Garamond" w:hAnsi="Garamond"/>
          <w:b/>
          <w:bCs/>
          <w:sz w:val="24"/>
          <w:szCs w:val="24"/>
        </w:rPr>
        <w:lastRenderedPageBreak/>
        <w:t xml:space="preserve">Information: </w:t>
      </w:r>
    </w:p>
    <w:p w14:paraId="0D15F8F7"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Part 4 of the Bill contains administrative procedures which allow the Accountant of Court, on application by the judicial factor, to:</w:t>
      </w:r>
    </w:p>
    <w:p w14:paraId="1EFCD4C1"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authorise distribution of the estate; and</w:t>
      </w:r>
    </w:p>
    <w:p w14:paraId="647AAC5B"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end the factor’s role in the estate (sections 27 and 29).</w:t>
      </w:r>
    </w:p>
    <w:p w14:paraId="5132FA65"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The administrative procedure for distribution can be used when:</w:t>
      </w:r>
    </w:p>
    <w:p w14:paraId="2BBCDEA4"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the purpose of the judicial factor appointment has been fulfilled, or no longer exists; or</w:t>
      </w:r>
    </w:p>
    <w:p w14:paraId="07B60D47"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there are insufficient funds for the arrangement to continue (section 27).</w:t>
      </w:r>
    </w:p>
    <w:p w14:paraId="6E280C25"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If someone objects to the scheme for distribution proposed by the judicial factor as part of the application, the issue must be referred to the court to determine (section 27).</w:t>
      </w:r>
    </w:p>
    <w:p w14:paraId="1166DFDB"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Part 4 also contains court-based procedures including:</w:t>
      </w:r>
    </w:p>
    <w:p w14:paraId="32A68424"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a procedure for someone with an interest in the estate to apply to the court for distribution of the estate - where this court application is successful, an administrative procedure can then be used to remove the judicial factor (sections 28 and 29)</w:t>
      </w:r>
    </w:p>
    <w:p w14:paraId="392819AB"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a procedure for the judicial factor, or someone with an interest in the estate, to apply to the court to end the judicial factor’s role in an estate in circumstances other than those covered by the administrative procedure (section 31)</w:t>
      </w:r>
    </w:p>
    <w:p w14:paraId="526D7EA0"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a duty on the Accountant of Court to apply to court in order that they can appoint a new judicial factor, where the original factor has either died or is not performing their functions (and no application for a new appointment has otherwise been made) (section 30).</w:t>
      </w:r>
    </w:p>
    <w:p w14:paraId="4D9FA13B"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Ending the judicial factor’s role will include ‘discharge’, that is, relieving a judicial factor of all future liabilities in respect of the estate under civil, but not criminal, law (section 34).</w:t>
      </w:r>
    </w:p>
    <w:p w14:paraId="7266327D" w14:textId="77777777" w:rsidR="008B302A" w:rsidRPr="005913B1" w:rsidRDefault="008B302A" w:rsidP="00286E0F">
      <w:pPr>
        <w:jc w:val="both"/>
        <w:rPr>
          <w:rFonts w:ascii="Garamond" w:hAnsi="Garamond"/>
          <w:sz w:val="24"/>
          <w:szCs w:val="24"/>
          <w:u w:val="single"/>
        </w:rPr>
      </w:pPr>
    </w:p>
    <w:p w14:paraId="4A2BB74B" w14:textId="0DA370DE" w:rsidR="009F295D" w:rsidRPr="005913B1" w:rsidRDefault="009F295D" w:rsidP="00286E0F">
      <w:pPr>
        <w:jc w:val="both"/>
        <w:rPr>
          <w:rFonts w:ascii="Garamond" w:hAnsi="Garamond"/>
          <w:sz w:val="24"/>
          <w:szCs w:val="24"/>
        </w:rPr>
      </w:pPr>
      <w:r w:rsidRPr="005913B1">
        <w:rPr>
          <w:rFonts w:ascii="Garamond" w:hAnsi="Garamond"/>
          <w:sz w:val="24"/>
          <w:szCs w:val="24"/>
        </w:rPr>
        <w:t>In relation to the distribution of an estate</w:t>
      </w:r>
      <w:r w:rsidR="002E4953" w:rsidRPr="005913B1">
        <w:rPr>
          <w:rFonts w:ascii="Garamond" w:hAnsi="Garamond"/>
          <w:sz w:val="24"/>
          <w:szCs w:val="24"/>
        </w:rPr>
        <w:t>,</w:t>
      </w:r>
      <w:r w:rsidR="00F12E8F" w:rsidRPr="005913B1">
        <w:rPr>
          <w:rFonts w:ascii="Garamond" w:hAnsi="Garamond"/>
          <w:sz w:val="24"/>
          <w:szCs w:val="24"/>
        </w:rPr>
        <w:t xml:space="preserve"> we wonder whether any consideration has been given to </w:t>
      </w:r>
      <w:r w:rsidR="004060BE" w:rsidRPr="005913B1">
        <w:rPr>
          <w:rFonts w:ascii="Garamond" w:hAnsi="Garamond"/>
          <w:sz w:val="24"/>
          <w:szCs w:val="24"/>
        </w:rPr>
        <w:t xml:space="preserve">the </w:t>
      </w:r>
      <w:r w:rsidR="00556FA1" w:rsidRPr="005913B1">
        <w:rPr>
          <w:rFonts w:ascii="Garamond" w:hAnsi="Garamond"/>
          <w:sz w:val="24"/>
          <w:szCs w:val="24"/>
        </w:rPr>
        <w:t xml:space="preserve">ongoing </w:t>
      </w:r>
      <w:r w:rsidR="004060BE" w:rsidRPr="005913B1">
        <w:rPr>
          <w:rFonts w:ascii="Garamond" w:hAnsi="Garamond"/>
          <w:sz w:val="24"/>
          <w:szCs w:val="24"/>
        </w:rPr>
        <w:t>status of a non-natural person</w:t>
      </w:r>
      <w:r w:rsidR="00F12E8F" w:rsidRPr="005913B1">
        <w:rPr>
          <w:rFonts w:ascii="Garamond" w:hAnsi="Garamond"/>
          <w:sz w:val="24"/>
          <w:szCs w:val="24"/>
        </w:rPr>
        <w:t xml:space="preserve"> in whom the estate was previously vested. </w:t>
      </w:r>
      <w:r w:rsidR="004060BE" w:rsidRPr="005913B1">
        <w:rPr>
          <w:rFonts w:ascii="Garamond" w:hAnsi="Garamond"/>
          <w:sz w:val="24"/>
          <w:szCs w:val="24"/>
        </w:rPr>
        <w:t xml:space="preserve">For example, if there was a partnership or company and their estate was vested in a judicial factor and this was followed by a distribution, </w:t>
      </w:r>
      <w:r w:rsidR="00DF4C33" w:rsidRPr="005913B1">
        <w:rPr>
          <w:rFonts w:ascii="Garamond" w:hAnsi="Garamond"/>
          <w:sz w:val="24"/>
          <w:szCs w:val="24"/>
        </w:rPr>
        <w:t>can the partnership or company continue in existence, with e.g. the capability of acquiring new estate (</w:t>
      </w:r>
      <w:r w:rsidR="00556FA1" w:rsidRPr="005913B1">
        <w:rPr>
          <w:rFonts w:ascii="Garamond" w:hAnsi="Garamond"/>
          <w:sz w:val="24"/>
          <w:szCs w:val="24"/>
        </w:rPr>
        <w:t>for example,</w:t>
      </w:r>
      <w:r w:rsidR="00DF4C33" w:rsidRPr="005913B1">
        <w:rPr>
          <w:rFonts w:ascii="Garamond" w:hAnsi="Garamond"/>
          <w:sz w:val="24"/>
          <w:szCs w:val="24"/>
        </w:rPr>
        <w:t xml:space="preserve"> after discharge of a judicial factor)? </w:t>
      </w:r>
      <w:r w:rsidR="00CF6209" w:rsidRPr="005913B1">
        <w:rPr>
          <w:rFonts w:ascii="Garamond" w:hAnsi="Garamond"/>
          <w:sz w:val="24"/>
          <w:szCs w:val="24"/>
        </w:rPr>
        <w:t xml:space="preserve">Perhaps you may wish to take the view that this </w:t>
      </w:r>
      <w:r w:rsidR="003623D5" w:rsidRPr="005913B1">
        <w:rPr>
          <w:rFonts w:ascii="Garamond" w:hAnsi="Garamond"/>
          <w:sz w:val="24"/>
          <w:szCs w:val="24"/>
        </w:rPr>
        <w:t xml:space="preserve">should </w:t>
      </w:r>
      <w:r w:rsidR="00CF6209" w:rsidRPr="005913B1">
        <w:rPr>
          <w:rFonts w:ascii="Garamond" w:hAnsi="Garamond"/>
          <w:sz w:val="24"/>
          <w:szCs w:val="24"/>
        </w:rPr>
        <w:t xml:space="preserve">be dealt with by </w:t>
      </w:r>
      <w:r w:rsidR="003623D5" w:rsidRPr="005913B1">
        <w:rPr>
          <w:rFonts w:ascii="Garamond" w:hAnsi="Garamond"/>
          <w:sz w:val="24"/>
          <w:szCs w:val="24"/>
        </w:rPr>
        <w:t xml:space="preserve">the normal rules of </w:t>
      </w:r>
      <w:r w:rsidR="00CF6209" w:rsidRPr="005913B1">
        <w:rPr>
          <w:rFonts w:ascii="Garamond" w:hAnsi="Garamond"/>
          <w:sz w:val="24"/>
          <w:szCs w:val="24"/>
        </w:rPr>
        <w:t xml:space="preserve">partnership law or company </w:t>
      </w:r>
      <w:proofErr w:type="gramStart"/>
      <w:r w:rsidR="00CF6209" w:rsidRPr="005913B1">
        <w:rPr>
          <w:rFonts w:ascii="Garamond" w:hAnsi="Garamond"/>
          <w:sz w:val="24"/>
          <w:szCs w:val="24"/>
        </w:rPr>
        <w:t>law</w:t>
      </w:r>
      <w:proofErr w:type="gramEnd"/>
      <w:r w:rsidR="00CF6209" w:rsidRPr="005913B1">
        <w:rPr>
          <w:rFonts w:ascii="Garamond" w:hAnsi="Garamond"/>
          <w:sz w:val="24"/>
          <w:szCs w:val="24"/>
        </w:rPr>
        <w:t xml:space="preserve"> but clarity would be desirable.</w:t>
      </w:r>
    </w:p>
    <w:p w14:paraId="4513E66D" w14:textId="53F72E54" w:rsidR="00A6667A" w:rsidRPr="005913B1" w:rsidRDefault="00A6667A" w:rsidP="00286E0F">
      <w:pPr>
        <w:jc w:val="both"/>
        <w:rPr>
          <w:rFonts w:ascii="Garamond" w:hAnsi="Garamond"/>
          <w:sz w:val="24"/>
          <w:szCs w:val="24"/>
        </w:rPr>
      </w:pPr>
      <w:r w:rsidRPr="005913B1">
        <w:rPr>
          <w:rFonts w:ascii="Garamond" w:hAnsi="Garamond"/>
          <w:sz w:val="24"/>
          <w:szCs w:val="24"/>
        </w:rPr>
        <w:t xml:space="preserve">In section </w:t>
      </w:r>
      <w:r w:rsidR="00B124B8" w:rsidRPr="005913B1">
        <w:rPr>
          <w:rFonts w:ascii="Garamond" w:hAnsi="Garamond"/>
          <w:sz w:val="24"/>
          <w:szCs w:val="24"/>
        </w:rPr>
        <w:t xml:space="preserve">33(1), should the use of “and” between (b) and (c) actually be “or”? In other words, </w:t>
      </w:r>
      <w:r w:rsidR="00A61435" w:rsidRPr="005913B1">
        <w:rPr>
          <w:rFonts w:ascii="Garamond" w:hAnsi="Garamond"/>
          <w:sz w:val="24"/>
          <w:szCs w:val="24"/>
        </w:rPr>
        <w:t xml:space="preserve">should the section apply only where the Accountant is satisfied that there are insufficient funds to meet the expenses of (a), (b), </w:t>
      </w:r>
      <w:r w:rsidR="00A61435" w:rsidRPr="005913B1">
        <w:rPr>
          <w:rFonts w:ascii="Garamond" w:hAnsi="Garamond"/>
          <w:sz w:val="24"/>
          <w:szCs w:val="24"/>
          <w:u w:val="single"/>
        </w:rPr>
        <w:t>and</w:t>
      </w:r>
      <w:r w:rsidR="00A61435" w:rsidRPr="005913B1">
        <w:rPr>
          <w:rFonts w:ascii="Garamond" w:hAnsi="Garamond"/>
          <w:sz w:val="24"/>
          <w:szCs w:val="24"/>
        </w:rPr>
        <w:t xml:space="preserve"> (c)</w:t>
      </w:r>
      <w:r w:rsidR="0087391D" w:rsidRPr="005913B1">
        <w:rPr>
          <w:rFonts w:ascii="Garamond" w:hAnsi="Garamond"/>
          <w:sz w:val="24"/>
          <w:szCs w:val="24"/>
        </w:rPr>
        <w:t xml:space="preserve"> or should it also apply where, for example, there are sufficient funds for </w:t>
      </w:r>
      <w:r w:rsidR="00810FAF" w:rsidRPr="005913B1">
        <w:rPr>
          <w:rFonts w:ascii="Garamond" w:hAnsi="Garamond"/>
          <w:sz w:val="24"/>
          <w:szCs w:val="24"/>
        </w:rPr>
        <w:t>(a) and (b) but not (c).</w:t>
      </w:r>
    </w:p>
    <w:p w14:paraId="1A072526" w14:textId="4D706CDF" w:rsidR="004971A3" w:rsidRDefault="00BC6837" w:rsidP="00286E0F">
      <w:pPr>
        <w:jc w:val="both"/>
        <w:rPr>
          <w:rFonts w:ascii="Garamond" w:hAnsi="Garamond"/>
          <w:sz w:val="24"/>
          <w:szCs w:val="24"/>
        </w:rPr>
      </w:pPr>
      <w:r w:rsidRPr="005913B1">
        <w:rPr>
          <w:rFonts w:ascii="Garamond" w:hAnsi="Garamond"/>
          <w:sz w:val="24"/>
          <w:szCs w:val="24"/>
        </w:rPr>
        <w:t>The interrelationship between s</w:t>
      </w:r>
      <w:r w:rsidR="00B0721F" w:rsidRPr="005913B1">
        <w:rPr>
          <w:rFonts w:ascii="Garamond" w:hAnsi="Garamond"/>
          <w:sz w:val="24"/>
          <w:szCs w:val="24"/>
        </w:rPr>
        <w:t>ection</w:t>
      </w:r>
      <w:r w:rsidRPr="005913B1">
        <w:rPr>
          <w:rFonts w:ascii="Garamond" w:hAnsi="Garamond"/>
          <w:sz w:val="24"/>
          <w:szCs w:val="24"/>
        </w:rPr>
        <w:t xml:space="preserve"> 34 </w:t>
      </w:r>
      <w:r w:rsidR="00A105BB" w:rsidRPr="005913B1">
        <w:rPr>
          <w:rFonts w:ascii="Garamond" w:hAnsi="Garamond"/>
          <w:sz w:val="24"/>
          <w:szCs w:val="24"/>
        </w:rPr>
        <w:t>(</w:t>
      </w:r>
      <w:r w:rsidRPr="005913B1">
        <w:rPr>
          <w:rFonts w:ascii="Garamond" w:hAnsi="Garamond"/>
          <w:sz w:val="24"/>
          <w:szCs w:val="24"/>
        </w:rPr>
        <w:t xml:space="preserve">on </w:t>
      </w:r>
      <w:r w:rsidR="00A105BB" w:rsidRPr="005913B1">
        <w:rPr>
          <w:rFonts w:ascii="Garamond" w:hAnsi="Garamond"/>
          <w:sz w:val="24"/>
          <w:szCs w:val="24"/>
        </w:rPr>
        <w:t xml:space="preserve">the ending of a judicial factor’s accountability on discharge) and </w:t>
      </w:r>
      <w:r w:rsidR="00BC6E11" w:rsidRPr="005913B1">
        <w:rPr>
          <w:rFonts w:ascii="Garamond" w:hAnsi="Garamond"/>
          <w:sz w:val="24"/>
          <w:szCs w:val="24"/>
        </w:rPr>
        <w:t>s</w:t>
      </w:r>
      <w:r w:rsidR="00B0721F" w:rsidRPr="005913B1">
        <w:rPr>
          <w:rFonts w:ascii="Garamond" w:hAnsi="Garamond"/>
          <w:sz w:val="24"/>
          <w:szCs w:val="24"/>
        </w:rPr>
        <w:t>ection</w:t>
      </w:r>
      <w:r w:rsidR="00BC6E11" w:rsidRPr="005913B1">
        <w:rPr>
          <w:rFonts w:ascii="Garamond" w:hAnsi="Garamond"/>
          <w:sz w:val="24"/>
          <w:szCs w:val="24"/>
        </w:rPr>
        <w:t xml:space="preserve"> 38 (on the misconduct or failure of a judicial factor) </w:t>
      </w:r>
      <w:r w:rsidR="00A71D3C" w:rsidRPr="005913B1">
        <w:rPr>
          <w:rFonts w:ascii="Garamond" w:hAnsi="Garamond"/>
          <w:sz w:val="24"/>
          <w:szCs w:val="24"/>
        </w:rPr>
        <w:t>c</w:t>
      </w:r>
      <w:r w:rsidR="00BC6E11" w:rsidRPr="005913B1">
        <w:rPr>
          <w:rFonts w:ascii="Garamond" w:hAnsi="Garamond"/>
          <w:sz w:val="24"/>
          <w:szCs w:val="24"/>
        </w:rPr>
        <w:t xml:space="preserve">ould be clearer. </w:t>
      </w:r>
      <w:r w:rsidR="00DA52B5" w:rsidRPr="005913B1">
        <w:rPr>
          <w:rFonts w:ascii="Garamond" w:hAnsi="Garamond"/>
          <w:sz w:val="24"/>
          <w:szCs w:val="24"/>
        </w:rPr>
        <w:t>P</w:t>
      </w:r>
      <w:r w:rsidR="00BC6E11" w:rsidRPr="005913B1">
        <w:rPr>
          <w:rFonts w:ascii="Garamond" w:hAnsi="Garamond"/>
          <w:sz w:val="24"/>
          <w:szCs w:val="24"/>
        </w:rPr>
        <w:t xml:space="preserve">resumably it is </w:t>
      </w:r>
      <w:r w:rsidR="00DA52B5" w:rsidRPr="005913B1">
        <w:rPr>
          <w:rFonts w:ascii="Garamond" w:hAnsi="Garamond"/>
          <w:sz w:val="24"/>
          <w:szCs w:val="24"/>
        </w:rPr>
        <w:t xml:space="preserve">intended that if a judicial factor is </w:t>
      </w:r>
      <w:r w:rsidR="00524B95" w:rsidRPr="005913B1">
        <w:rPr>
          <w:rFonts w:ascii="Garamond" w:hAnsi="Garamond"/>
          <w:sz w:val="24"/>
          <w:szCs w:val="24"/>
        </w:rPr>
        <w:t xml:space="preserve">discharged but certain forms of misconduct later come to light </w:t>
      </w:r>
      <w:r w:rsidR="00C43196" w:rsidRPr="005913B1">
        <w:rPr>
          <w:rFonts w:ascii="Garamond" w:hAnsi="Garamond"/>
          <w:sz w:val="24"/>
          <w:szCs w:val="24"/>
        </w:rPr>
        <w:t xml:space="preserve">and are reported to the court, </w:t>
      </w:r>
      <w:r w:rsidR="00D46859" w:rsidRPr="005913B1">
        <w:rPr>
          <w:rFonts w:ascii="Garamond" w:hAnsi="Garamond"/>
          <w:sz w:val="24"/>
          <w:szCs w:val="24"/>
        </w:rPr>
        <w:t xml:space="preserve">then </w:t>
      </w:r>
      <w:r w:rsidR="00C43196" w:rsidRPr="005913B1">
        <w:rPr>
          <w:rFonts w:ascii="Garamond" w:hAnsi="Garamond"/>
          <w:sz w:val="24"/>
          <w:szCs w:val="24"/>
        </w:rPr>
        <w:t>the</w:t>
      </w:r>
      <w:r w:rsidR="00D46859" w:rsidRPr="005913B1">
        <w:rPr>
          <w:rFonts w:ascii="Garamond" w:hAnsi="Garamond"/>
          <w:sz w:val="24"/>
          <w:szCs w:val="24"/>
        </w:rPr>
        <w:t xml:space="preserve"> court “may dispose </w:t>
      </w:r>
      <w:r w:rsidR="00C43196" w:rsidRPr="005913B1">
        <w:rPr>
          <w:rFonts w:ascii="Garamond" w:hAnsi="Garamond"/>
          <w:sz w:val="24"/>
          <w:szCs w:val="24"/>
        </w:rPr>
        <w:t xml:space="preserve">of the matter in whatever </w:t>
      </w:r>
      <w:r w:rsidR="004B4E51" w:rsidRPr="005913B1">
        <w:rPr>
          <w:rFonts w:ascii="Garamond" w:hAnsi="Garamond"/>
          <w:sz w:val="24"/>
          <w:szCs w:val="24"/>
        </w:rPr>
        <w:t>manner it considers appropriate”</w:t>
      </w:r>
      <w:r w:rsidR="00DC6954" w:rsidRPr="005913B1">
        <w:rPr>
          <w:rFonts w:ascii="Garamond" w:hAnsi="Garamond"/>
          <w:sz w:val="24"/>
          <w:szCs w:val="24"/>
        </w:rPr>
        <w:t xml:space="preserve"> and thereby hold the </w:t>
      </w:r>
      <w:r w:rsidR="003242D3" w:rsidRPr="005913B1">
        <w:rPr>
          <w:rFonts w:ascii="Garamond" w:hAnsi="Garamond"/>
          <w:sz w:val="24"/>
          <w:szCs w:val="24"/>
        </w:rPr>
        <w:t xml:space="preserve">discharged judicial factor </w:t>
      </w:r>
      <w:r w:rsidR="003242D3" w:rsidRPr="005913B1">
        <w:rPr>
          <w:rFonts w:ascii="Garamond" w:hAnsi="Garamond"/>
          <w:sz w:val="24"/>
          <w:szCs w:val="24"/>
        </w:rPr>
        <w:lastRenderedPageBreak/>
        <w:t>accountable/liable</w:t>
      </w:r>
      <w:r w:rsidR="002D258A" w:rsidRPr="005913B1">
        <w:rPr>
          <w:rFonts w:ascii="Garamond" w:hAnsi="Garamond"/>
          <w:sz w:val="24"/>
          <w:szCs w:val="24"/>
        </w:rPr>
        <w:t>, perhaps most likely on an individual basis</w:t>
      </w:r>
      <w:r w:rsidR="004B4E51" w:rsidRPr="005913B1">
        <w:rPr>
          <w:rFonts w:ascii="Garamond" w:hAnsi="Garamond"/>
          <w:sz w:val="24"/>
          <w:szCs w:val="24"/>
        </w:rPr>
        <w:t xml:space="preserve">. If this is the intention, </w:t>
      </w:r>
      <w:r w:rsidR="003242D3" w:rsidRPr="005913B1">
        <w:rPr>
          <w:rFonts w:ascii="Garamond" w:hAnsi="Garamond"/>
          <w:sz w:val="24"/>
          <w:szCs w:val="24"/>
        </w:rPr>
        <w:t>it should be made more express, with e.g. a statement that s</w:t>
      </w:r>
      <w:r w:rsidR="00B0721F" w:rsidRPr="005913B1">
        <w:rPr>
          <w:rFonts w:ascii="Garamond" w:hAnsi="Garamond"/>
          <w:sz w:val="24"/>
          <w:szCs w:val="24"/>
        </w:rPr>
        <w:t>ection</w:t>
      </w:r>
      <w:r w:rsidR="003242D3" w:rsidRPr="005913B1">
        <w:rPr>
          <w:rFonts w:ascii="Garamond" w:hAnsi="Garamond"/>
          <w:sz w:val="24"/>
          <w:szCs w:val="24"/>
        </w:rPr>
        <w:t xml:space="preserve"> 38 can apply</w:t>
      </w:r>
      <w:r w:rsidR="008F6B7A" w:rsidRPr="005913B1">
        <w:rPr>
          <w:rFonts w:ascii="Garamond" w:hAnsi="Garamond"/>
          <w:sz w:val="24"/>
          <w:szCs w:val="24"/>
        </w:rPr>
        <w:t xml:space="preserve"> (at least in some instances)</w:t>
      </w:r>
      <w:r w:rsidR="003242D3" w:rsidRPr="005913B1">
        <w:rPr>
          <w:rFonts w:ascii="Garamond" w:hAnsi="Garamond"/>
          <w:sz w:val="24"/>
          <w:szCs w:val="24"/>
        </w:rPr>
        <w:t xml:space="preserve"> irrespective of whether a </w:t>
      </w:r>
      <w:r w:rsidR="008F6B7A" w:rsidRPr="005913B1">
        <w:rPr>
          <w:rFonts w:ascii="Garamond" w:hAnsi="Garamond"/>
          <w:sz w:val="24"/>
          <w:szCs w:val="24"/>
        </w:rPr>
        <w:t xml:space="preserve">judicial factor’s accountability has been discharged </w:t>
      </w:r>
      <w:r w:rsidR="001E367B" w:rsidRPr="005913B1">
        <w:rPr>
          <w:rFonts w:ascii="Garamond" w:hAnsi="Garamond"/>
          <w:sz w:val="24"/>
          <w:szCs w:val="24"/>
        </w:rPr>
        <w:t>under s</w:t>
      </w:r>
      <w:r w:rsidR="00B0721F" w:rsidRPr="005913B1">
        <w:rPr>
          <w:rFonts w:ascii="Garamond" w:hAnsi="Garamond"/>
          <w:sz w:val="24"/>
          <w:szCs w:val="24"/>
        </w:rPr>
        <w:t>ection</w:t>
      </w:r>
      <w:r w:rsidR="001E367B" w:rsidRPr="005913B1">
        <w:rPr>
          <w:rFonts w:ascii="Garamond" w:hAnsi="Garamond"/>
          <w:sz w:val="24"/>
          <w:szCs w:val="24"/>
        </w:rPr>
        <w:t xml:space="preserve"> 34.</w:t>
      </w:r>
      <w:r w:rsidR="005C639C" w:rsidRPr="005913B1">
        <w:rPr>
          <w:rFonts w:ascii="Garamond" w:hAnsi="Garamond"/>
          <w:sz w:val="24"/>
          <w:szCs w:val="24"/>
        </w:rPr>
        <w:t xml:space="preserve"> </w:t>
      </w:r>
      <w:r w:rsidR="0014416B">
        <w:rPr>
          <w:rFonts w:ascii="Garamond" w:hAnsi="Garamond"/>
          <w:sz w:val="24"/>
          <w:szCs w:val="24"/>
        </w:rPr>
        <w:t xml:space="preserve">By way of a comparator, the Insolvency Act 1986, section 212, </w:t>
      </w:r>
      <w:r w:rsidR="00425A44">
        <w:rPr>
          <w:rFonts w:ascii="Garamond" w:hAnsi="Garamond"/>
          <w:sz w:val="24"/>
          <w:szCs w:val="24"/>
        </w:rPr>
        <w:t xml:space="preserve">provides that it </w:t>
      </w:r>
      <w:r w:rsidR="00425A44" w:rsidRPr="00425A44">
        <w:rPr>
          <w:rFonts w:ascii="Garamond" w:hAnsi="Garamond"/>
          <w:sz w:val="24"/>
          <w:szCs w:val="24"/>
        </w:rPr>
        <w:t xml:space="preserve">is possible to bring misfeasance proceedings against an officeholder </w:t>
      </w:r>
      <w:r w:rsidR="00FB4A9F">
        <w:rPr>
          <w:rFonts w:ascii="Garamond" w:hAnsi="Garamond"/>
          <w:sz w:val="24"/>
          <w:szCs w:val="24"/>
        </w:rPr>
        <w:t>following their</w:t>
      </w:r>
      <w:r w:rsidR="00425A44" w:rsidRPr="00425A44">
        <w:rPr>
          <w:rFonts w:ascii="Garamond" w:hAnsi="Garamond"/>
          <w:sz w:val="24"/>
          <w:szCs w:val="24"/>
        </w:rPr>
        <w:t xml:space="preserve"> release</w:t>
      </w:r>
      <w:r w:rsidR="00FB4A9F">
        <w:rPr>
          <w:rFonts w:ascii="Garamond" w:hAnsi="Garamond"/>
          <w:sz w:val="24"/>
          <w:szCs w:val="24"/>
        </w:rPr>
        <w:t xml:space="preserve"> </w:t>
      </w:r>
      <w:r w:rsidR="00425A44" w:rsidRPr="00425A44">
        <w:rPr>
          <w:rFonts w:ascii="Garamond" w:hAnsi="Garamond"/>
          <w:sz w:val="24"/>
          <w:szCs w:val="24"/>
        </w:rPr>
        <w:t xml:space="preserve">but only with the leave of the court. </w:t>
      </w:r>
      <w:r w:rsidR="0014416B">
        <w:rPr>
          <w:rFonts w:ascii="Garamond" w:hAnsi="Garamond"/>
          <w:sz w:val="24"/>
          <w:szCs w:val="24"/>
        </w:rPr>
        <w:t>In relation to judicial factors, w</w:t>
      </w:r>
      <w:r w:rsidR="008619B4">
        <w:rPr>
          <w:rFonts w:ascii="Garamond" w:hAnsi="Garamond"/>
          <w:sz w:val="24"/>
          <w:szCs w:val="24"/>
        </w:rPr>
        <w:t>e do not think th</w:t>
      </w:r>
      <w:r w:rsidR="007608BF">
        <w:rPr>
          <w:rFonts w:ascii="Garamond" w:hAnsi="Garamond"/>
          <w:sz w:val="24"/>
          <w:szCs w:val="24"/>
        </w:rPr>
        <w:t xml:space="preserve">at restricting the exception to freedom from </w:t>
      </w:r>
      <w:r w:rsidR="009711A7">
        <w:rPr>
          <w:rFonts w:ascii="Garamond" w:hAnsi="Garamond"/>
          <w:sz w:val="24"/>
          <w:szCs w:val="24"/>
        </w:rPr>
        <w:t xml:space="preserve">liability following discharge to criminal liability </w:t>
      </w:r>
      <w:r w:rsidR="00333BC5">
        <w:rPr>
          <w:rFonts w:ascii="Garamond" w:hAnsi="Garamond"/>
          <w:sz w:val="24"/>
          <w:szCs w:val="24"/>
        </w:rPr>
        <w:t>is the best approach. Presumably it should also extend to conduct falling within s 38 which is only reasonably discovered after discharge.</w:t>
      </w:r>
      <w:r w:rsidR="009D0AC9">
        <w:rPr>
          <w:rFonts w:ascii="Garamond" w:hAnsi="Garamond"/>
          <w:sz w:val="24"/>
          <w:szCs w:val="24"/>
        </w:rPr>
        <w:t xml:space="preserve"> </w:t>
      </w:r>
    </w:p>
    <w:p w14:paraId="2638DB89" w14:textId="1F28F3CE" w:rsidR="009F295D" w:rsidRPr="005913B1" w:rsidRDefault="005C639C" w:rsidP="00286E0F">
      <w:pPr>
        <w:jc w:val="both"/>
        <w:rPr>
          <w:rFonts w:ascii="Garamond" w:hAnsi="Garamond"/>
          <w:sz w:val="24"/>
          <w:szCs w:val="24"/>
        </w:rPr>
      </w:pPr>
      <w:r w:rsidRPr="005913B1">
        <w:rPr>
          <w:rFonts w:ascii="Garamond" w:hAnsi="Garamond"/>
          <w:sz w:val="24"/>
          <w:szCs w:val="24"/>
        </w:rPr>
        <w:t xml:space="preserve">In addition, </w:t>
      </w:r>
      <w:r w:rsidR="00A54242" w:rsidRPr="005913B1">
        <w:rPr>
          <w:rFonts w:ascii="Garamond" w:hAnsi="Garamond"/>
          <w:sz w:val="24"/>
          <w:szCs w:val="24"/>
        </w:rPr>
        <w:t>while s</w:t>
      </w:r>
      <w:r w:rsidR="00B0721F" w:rsidRPr="005913B1">
        <w:rPr>
          <w:rFonts w:ascii="Garamond" w:hAnsi="Garamond"/>
          <w:sz w:val="24"/>
          <w:szCs w:val="24"/>
        </w:rPr>
        <w:t>ection</w:t>
      </w:r>
      <w:r w:rsidR="00A54242" w:rsidRPr="005913B1">
        <w:rPr>
          <w:rFonts w:ascii="Garamond" w:hAnsi="Garamond"/>
          <w:sz w:val="24"/>
          <w:szCs w:val="24"/>
        </w:rPr>
        <w:t xml:space="preserve"> 38(6)(b) notes that a disposal by the court under s</w:t>
      </w:r>
      <w:r w:rsidR="00B0721F" w:rsidRPr="005913B1">
        <w:rPr>
          <w:rFonts w:ascii="Garamond" w:hAnsi="Garamond"/>
          <w:sz w:val="24"/>
          <w:szCs w:val="24"/>
        </w:rPr>
        <w:t>ection</w:t>
      </w:r>
      <w:r w:rsidR="00A54242" w:rsidRPr="005913B1">
        <w:rPr>
          <w:rFonts w:ascii="Garamond" w:hAnsi="Garamond"/>
          <w:sz w:val="24"/>
          <w:szCs w:val="24"/>
        </w:rPr>
        <w:t xml:space="preserve"> 38(5)(b) </w:t>
      </w:r>
      <w:r w:rsidR="005F2D49" w:rsidRPr="005913B1">
        <w:rPr>
          <w:rFonts w:ascii="Garamond" w:hAnsi="Garamond"/>
          <w:sz w:val="24"/>
          <w:szCs w:val="24"/>
        </w:rPr>
        <w:t xml:space="preserve">does not affect any right which any other person may have in respect of loss consequent upon a judicial factor’s conduct, </w:t>
      </w:r>
      <w:r w:rsidR="00C70641" w:rsidRPr="005913B1">
        <w:rPr>
          <w:rFonts w:ascii="Garamond" w:hAnsi="Garamond"/>
          <w:sz w:val="24"/>
          <w:szCs w:val="24"/>
        </w:rPr>
        <w:t xml:space="preserve">the relationship between </w:t>
      </w:r>
      <w:r w:rsidR="00710335" w:rsidRPr="005913B1">
        <w:rPr>
          <w:rFonts w:ascii="Garamond" w:hAnsi="Garamond"/>
          <w:sz w:val="24"/>
          <w:szCs w:val="24"/>
        </w:rPr>
        <w:t xml:space="preserve">such rights and the discharge of a judicial factor may also benefit from an express statement. </w:t>
      </w:r>
      <w:r w:rsidR="00AE05EC">
        <w:rPr>
          <w:rFonts w:ascii="Garamond" w:hAnsi="Garamond"/>
          <w:sz w:val="24"/>
          <w:szCs w:val="24"/>
        </w:rPr>
        <w:t xml:space="preserve"> </w:t>
      </w:r>
    </w:p>
    <w:p w14:paraId="10A3DC59" w14:textId="77777777" w:rsidR="00BC6837" w:rsidRPr="005913B1" w:rsidRDefault="00BC6837" w:rsidP="00286E0F">
      <w:pPr>
        <w:jc w:val="both"/>
        <w:rPr>
          <w:rFonts w:ascii="Garamond" w:hAnsi="Garamond"/>
          <w:sz w:val="24"/>
          <w:szCs w:val="24"/>
        </w:rPr>
      </w:pPr>
    </w:p>
    <w:p w14:paraId="7FF93DDB" w14:textId="35ED79CB" w:rsidR="008B302A" w:rsidRPr="005913B1" w:rsidRDefault="008B302A" w:rsidP="00286E0F">
      <w:pPr>
        <w:jc w:val="both"/>
        <w:rPr>
          <w:rFonts w:ascii="Garamond" w:hAnsi="Garamond"/>
          <w:sz w:val="24"/>
          <w:szCs w:val="24"/>
          <w:u w:val="single"/>
        </w:rPr>
      </w:pPr>
      <w:r w:rsidRPr="005913B1">
        <w:rPr>
          <w:rFonts w:ascii="Garamond" w:hAnsi="Garamond"/>
          <w:sz w:val="24"/>
          <w:szCs w:val="24"/>
          <w:u w:val="single"/>
        </w:rPr>
        <w:t>3. What are your views on the proposal that the Accountant of Court should continue to supervise judicial factors, as set out in Part 5 of the Bill? If you would like to, please include any suggestions for alternative approaches to the supervision of judicial factors.</w:t>
      </w:r>
    </w:p>
    <w:p w14:paraId="17C6EA34" w14:textId="31CAC840" w:rsidR="008B302A" w:rsidRPr="00286E0F" w:rsidRDefault="008B302A" w:rsidP="00286E0F">
      <w:pPr>
        <w:jc w:val="both"/>
        <w:rPr>
          <w:rFonts w:ascii="Garamond" w:hAnsi="Garamond"/>
          <w:b/>
          <w:bCs/>
          <w:sz w:val="24"/>
          <w:szCs w:val="24"/>
        </w:rPr>
      </w:pPr>
      <w:r w:rsidRPr="005913B1">
        <w:rPr>
          <w:rFonts w:ascii="Garamond" w:hAnsi="Garamond"/>
          <w:b/>
          <w:bCs/>
          <w:sz w:val="24"/>
          <w:szCs w:val="24"/>
        </w:rPr>
        <w:t xml:space="preserve">Information: </w:t>
      </w:r>
    </w:p>
    <w:p w14:paraId="4513993E"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The Accountant of Court, appointed and employed by the Scottish Courts and Tribunal Service currently carries out various functions, including supervision of judicial factors.</w:t>
      </w:r>
    </w:p>
    <w:p w14:paraId="1BEABCE3"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The same person who holds the office of the Accountant of Court also acts as the Public Guardian under the Adults with Incapacity (Scotland) Act 2000. The Scottish Government’s policy intention is that this overlap of roles will continue.</w:t>
      </w:r>
    </w:p>
    <w:p w14:paraId="684A30C1" w14:textId="77777777" w:rsidR="008B302A" w:rsidRDefault="008B302A" w:rsidP="00286E0F">
      <w:pPr>
        <w:jc w:val="both"/>
        <w:rPr>
          <w:rFonts w:ascii="Garamond" w:hAnsi="Garamond"/>
          <w:b/>
          <w:bCs/>
          <w:sz w:val="24"/>
          <w:szCs w:val="24"/>
        </w:rPr>
      </w:pPr>
    </w:p>
    <w:p w14:paraId="207A40E8" w14:textId="10C5EC33" w:rsidR="00733F45" w:rsidRPr="00733F45" w:rsidRDefault="00733F45" w:rsidP="00286E0F">
      <w:pPr>
        <w:jc w:val="both"/>
        <w:rPr>
          <w:rFonts w:ascii="Garamond" w:hAnsi="Garamond"/>
          <w:sz w:val="24"/>
          <w:szCs w:val="24"/>
        </w:rPr>
      </w:pPr>
      <w:r>
        <w:rPr>
          <w:rFonts w:ascii="Garamond" w:hAnsi="Garamond"/>
          <w:sz w:val="24"/>
          <w:szCs w:val="24"/>
        </w:rPr>
        <w:t xml:space="preserve">We are generally supportive of the proposal </w:t>
      </w:r>
      <w:r w:rsidR="00AF05C0">
        <w:rPr>
          <w:rFonts w:ascii="Garamond" w:hAnsi="Garamond"/>
          <w:sz w:val="24"/>
          <w:szCs w:val="24"/>
        </w:rPr>
        <w:t>here.</w:t>
      </w:r>
    </w:p>
    <w:p w14:paraId="1D442DDB" w14:textId="77777777" w:rsidR="00733F45" w:rsidRPr="005913B1" w:rsidRDefault="00733F45" w:rsidP="00286E0F">
      <w:pPr>
        <w:jc w:val="both"/>
        <w:rPr>
          <w:rFonts w:ascii="Garamond" w:hAnsi="Garamond"/>
          <w:b/>
          <w:bCs/>
          <w:sz w:val="24"/>
          <w:szCs w:val="24"/>
        </w:rPr>
      </w:pPr>
    </w:p>
    <w:p w14:paraId="013D3BF3" w14:textId="77777777" w:rsidR="008B302A" w:rsidRPr="005913B1" w:rsidRDefault="008B302A" w:rsidP="00286E0F">
      <w:pPr>
        <w:jc w:val="both"/>
        <w:rPr>
          <w:rFonts w:ascii="Garamond" w:hAnsi="Garamond"/>
          <w:b/>
          <w:bCs/>
          <w:sz w:val="24"/>
          <w:szCs w:val="24"/>
        </w:rPr>
      </w:pPr>
      <w:r w:rsidRPr="005913B1">
        <w:rPr>
          <w:rFonts w:ascii="Garamond" w:hAnsi="Garamond"/>
          <w:b/>
          <w:bCs/>
          <w:sz w:val="24"/>
          <w:szCs w:val="24"/>
        </w:rPr>
        <w:t>Question page 3</w:t>
      </w:r>
    </w:p>
    <w:p w14:paraId="253198F8" w14:textId="5B8FC750" w:rsidR="008B302A" w:rsidRPr="005913B1" w:rsidRDefault="008B302A" w:rsidP="00286E0F">
      <w:pPr>
        <w:jc w:val="both"/>
        <w:rPr>
          <w:rFonts w:ascii="Garamond" w:hAnsi="Garamond"/>
          <w:sz w:val="24"/>
          <w:szCs w:val="24"/>
          <w:u w:val="single"/>
        </w:rPr>
      </w:pPr>
      <w:r w:rsidRPr="005913B1">
        <w:rPr>
          <w:rFonts w:ascii="Garamond" w:hAnsi="Garamond"/>
          <w:sz w:val="24"/>
          <w:szCs w:val="24"/>
          <w:u w:val="single"/>
        </w:rPr>
        <w:t>1. What are your views on the detailed arrangements relating to the Accountant of Court as set out in Part 5 of the Bill?</w:t>
      </w:r>
    </w:p>
    <w:p w14:paraId="7AC624B4" w14:textId="5F82A397" w:rsidR="008B302A" w:rsidRPr="00286E0F" w:rsidRDefault="008B302A" w:rsidP="00286E0F">
      <w:pPr>
        <w:jc w:val="both"/>
        <w:rPr>
          <w:rFonts w:ascii="Garamond" w:hAnsi="Garamond"/>
          <w:b/>
          <w:bCs/>
          <w:sz w:val="24"/>
          <w:szCs w:val="24"/>
        </w:rPr>
      </w:pPr>
      <w:r w:rsidRPr="005913B1">
        <w:rPr>
          <w:rFonts w:ascii="Garamond" w:hAnsi="Garamond"/>
          <w:b/>
          <w:bCs/>
          <w:sz w:val="24"/>
          <w:szCs w:val="24"/>
        </w:rPr>
        <w:t xml:space="preserve">Information </w:t>
      </w:r>
    </w:p>
    <w:p w14:paraId="1E7B0517"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 xml:space="preserve">Part 5 of the Bill contains various proposals relating to Accountant of Court (‘the </w:t>
      </w:r>
      <w:proofErr w:type="gramStart"/>
      <w:r w:rsidRPr="00286E0F">
        <w:rPr>
          <w:rFonts w:ascii="Garamond" w:hAnsi="Garamond"/>
          <w:i/>
          <w:iCs/>
          <w:sz w:val="24"/>
          <w:szCs w:val="24"/>
        </w:rPr>
        <w:t>Accountant</w:t>
      </w:r>
      <w:proofErr w:type="gramEnd"/>
      <w:r w:rsidRPr="00286E0F">
        <w:rPr>
          <w:rFonts w:ascii="Garamond" w:hAnsi="Garamond"/>
          <w:i/>
          <w:iCs/>
          <w:sz w:val="24"/>
          <w:szCs w:val="24"/>
        </w:rPr>
        <w:t>’), including that:</w:t>
      </w:r>
    </w:p>
    <w:p w14:paraId="707F109B"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the person appointed as Accountant must, in the opinion of the Scottish Courts and Tribunal Service (SCTS), be “appropriately qualified” in law or accountancy (section 35). Formal qualifications in these disciplines are not necessarily required (Policy Memorandum, para 105)</w:t>
      </w:r>
    </w:p>
    <w:p w14:paraId="55ACEE90"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 xml:space="preserve">the </w:t>
      </w:r>
      <w:proofErr w:type="gramStart"/>
      <w:r w:rsidRPr="00286E0F">
        <w:rPr>
          <w:rFonts w:ascii="Garamond" w:hAnsi="Garamond"/>
          <w:i/>
          <w:iCs/>
          <w:sz w:val="24"/>
          <w:szCs w:val="24"/>
        </w:rPr>
        <w:t>Accountant</w:t>
      </w:r>
      <w:proofErr w:type="gramEnd"/>
      <w:r w:rsidRPr="00286E0F">
        <w:rPr>
          <w:rFonts w:ascii="Garamond" w:hAnsi="Garamond"/>
          <w:i/>
          <w:iCs/>
          <w:sz w:val="24"/>
          <w:szCs w:val="24"/>
        </w:rPr>
        <w:t xml:space="preserve"> can be paid for their role by the SCTS, but must also charge fees relating to their work, to cover their costs reasonably incurred, and these fees are to be met by out of the estate managed by the judicial factor (section 35)</w:t>
      </w:r>
    </w:p>
    <w:p w14:paraId="6648E5A6"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there is a power for the SCTS to appoint a Depute Accountant (section 36)</w:t>
      </w:r>
    </w:p>
    <w:p w14:paraId="159EFB42"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lastRenderedPageBreak/>
        <w:t>•</w:t>
      </w:r>
      <w:r w:rsidRPr="00286E0F">
        <w:rPr>
          <w:rFonts w:ascii="Garamond" w:hAnsi="Garamond"/>
          <w:i/>
          <w:iCs/>
          <w:sz w:val="24"/>
          <w:szCs w:val="24"/>
        </w:rPr>
        <w:tab/>
        <w:t xml:space="preserve">the </w:t>
      </w:r>
      <w:proofErr w:type="gramStart"/>
      <w:r w:rsidRPr="00286E0F">
        <w:rPr>
          <w:rFonts w:ascii="Garamond" w:hAnsi="Garamond"/>
          <w:i/>
          <w:iCs/>
          <w:sz w:val="24"/>
          <w:szCs w:val="24"/>
        </w:rPr>
        <w:t>Accountant</w:t>
      </w:r>
      <w:proofErr w:type="gramEnd"/>
      <w:r w:rsidRPr="00286E0F">
        <w:rPr>
          <w:rFonts w:ascii="Garamond" w:hAnsi="Garamond"/>
          <w:i/>
          <w:iCs/>
          <w:sz w:val="24"/>
          <w:szCs w:val="24"/>
        </w:rPr>
        <w:t xml:space="preserve"> must supervise the performance of judicial factors, and can issues instructions to factors as to how they carry out their functions (section 37)</w:t>
      </w:r>
    </w:p>
    <w:p w14:paraId="0F19C050"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 xml:space="preserve">when misconduct or certain failures are alleged in respect of a judicial factor, the </w:t>
      </w:r>
      <w:proofErr w:type="gramStart"/>
      <w:r w:rsidRPr="00286E0F">
        <w:rPr>
          <w:rFonts w:ascii="Garamond" w:hAnsi="Garamond"/>
          <w:i/>
          <w:iCs/>
          <w:sz w:val="24"/>
          <w:szCs w:val="24"/>
        </w:rPr>
        <w:t>Accountant</w:t>
      </w:r>
      <w:proofErr w:type="gramEnd"/>
      <w:r w:rsidRPr="00286E0F">
        <w:rPr>
          <w:rFonts w:ascii="Garamond" w:hAnsi="Garamond"/>
          <w:i/>
          <w:iCs/>
          <w:sz w:val="24"/>
          <w:szCs w:val="24"/>
        </w:rPr>
        <w:t xml:space="preserve"> has powers to ‘make inquiries’ and give the judicial factor the opportunity to make ‘representations’ (section 38)</w:t>
      </w:r>
    </w:p>
    <w:p w14:paraId="69F36C6A" w14:textId="77777777"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 xml:space="preserve">when serious misconduct or failures are found, the </w:t>
      </w:r>
      <w:proofErr w:type="gramStart"/>
      <w:r w:rsidRPr="00286E0F">
        <w:rPr>
          <w:rFonts w:ascii="Garamond" w:hAnsi="Garamond"/>
          <w:i/>
          <w:iCs/>
          <w:sz w:val="24"/>
          <w:szCs w:val="24"/>
        </w:rPr>
        <w:t>Accountant</w:t>
      </w:r>
      <w:proofErr w:type="gramEnd"/>
      <w:r w:rsidRPr="00286E0F">
        <w:rPr>
          <w:rFonts w:ascii="Garamond" w:hAnsi="Garamond"/>
          <w:i/>
          <w:iCs/>
          <w:sz w:val="24"/>
          <w:szCs w:val="24"/>
        </w:rPr>
        <w:t xml:space="preserve"> must report them to the court and, where applicable, the judicial factor’s professional body (section 38)</w:t>
      </w:r>
    </w:p>
    <w:p w14:paraId="1372161F" w14:textId="23B83C99" w:rsidR="008B302A" w:rsidRPr="00286E0F" w:rsidRDefault="008B302A" w:rsidP="00286E0F">
      <w:pPr>
        <w:jc w:val="both"/>
        <w:rPr>
          <w:rFonts w:ascii="Garamond" w:hAnsi="Garamond"/>
          <w:i/>
          <w:iCs/>
          <w:sz w:val="24"/>
          <w:szCs w:val="24"/>
        </w:rPr>
      </w:pPr>
      <w:r w:rsidRPr="00286E0F">
        <w:rPr>
          <w:rFonts w:ascii="Garamond" w:hAnsi="Garamond"/>
          <w:i/>
          <w:iCs/>
          <w:sz w:val="24"/>
          <w:szCs w:val="24"/>
        </w:rPr>
        <w:t>•</w:t>
      </w:r>
      <w:r w:rsidRPr="00286E0F">
        <w:rPr>
          <w:rFonts w:ascii="Garamond" w:hAnsi="Garamond"/>
          <w:i/>
          <w:iCs/>
          <w:sz w:val="24"/>
          <w:szCs w:val="24"/>
        </w:rPr>
        <w:tab/>
        <w:t xml:space="preserve">the </w:t>
      </w:r>
      <w:proofErr w:type="gramStart"/>
      <w:r w:rsidRPr="00286E0F">
        <w:rPr>
          <w:rFonts w:ascii="Garamond" w:hAnsi="Garamond"/>
          <w:i/>
          <w:iCs/>
          <w:sz w:val="24"/>
          <w:szCs w:val="24"/>
        </w:rPr>
        <w:t>Accountant</w:t>
      </w:r>
      <w:proofErr w:type="gramEnd"/>
      <w:r w:rsidRPr="00286E0F">
        <w:rPr>
          <w:rFonts w:ascii="Garamond" w:hAnsi="Garamond"/>
          <w:i/>
          <w:iCs/>
          <w:sz w:val="24"/>
          <w:szCs w:val="24"/>
        </w:rPr>
        <w:t xml:space="preserve"> must audit accounts received from judicial factors (section 40)</w:t>
      </w:r>
    </w:p>
    <w:p w14:paraId="16D0B37E" w14:textId="77777777" w:rsidR="00286E0F" w:rsidRDefault="00286E0F" w:rsidP="00286E0F">
      <w:pPr>
        <w:jc w:val="both"/>
        <w:rPr>
          <w:rFonts w:ascii="Garamond" w:hAnsi="Garamond"/>
          <w:sz w:val="24"/>
          <w:szCs w:val="24"/>
        </w:rPr>
      </w:pPr>
    </w:p>
    <w:p w14:paraId="5559D994" w14:textId="1BAC8320" w:rsidR="00AF05C0" w:rsidRDefault="00AF05C0" w:rsidP="00286E0F">
      <w:pPr>
        <w:jc w:val="both"/>
        <w:rPr>
          <w:rFonts w:ascii="Garamond" w:hAnsi="Garamond"/>
          <w:sz w:val="24"/>
          <w:szCs w:val="24"/>
        </w:rPr>
      </w:pPr>
      <w:r>
        <w:rPr>
          <w:rFonts w:ascii="Garamond" w:hAnsi="Garamond"/>
          <w:sz w:val="24"/>
          <w:szCs w:val="24"/>
        </w:rPr>
        <w:t>We are generally supportive of the proposals outlined here.</w:t>
      </w:r>
    </w:p>
    <w:p w14:paraId="695A5B78" w14:textId="77777777" w:rsidR="00AF05C0" w:rsidRPr="005913B1" w:rsidRDefault="00AF05C0" w:rsidP="00286E0F">
      <w:pPr>
        <w:jc w:val="both"/>
        <w:rPr>
          <w:rFonts w:ascii="Garamond" w:hAnsi="Garamond"/>
          <w:sz w:val="24"/>
          <w:szCs w:val="24"/>
        </w:rPr>
      </w:pPr>
    </w:p>
    <w:p w14:paraId="6C0C7011" w14:textId="18E8A8F6" w:rsidR="008B302A" w:rsidRPr="005913B1" w:rsidRDefault="008B302A" w:rsidP="00286E0F">
      <w:pPr>
        <w:jc w:val="both"/>
        <w:rPr>
          <w:rFonts w:ascii="Garamond" w:hAnsi="Garamond"/>
          <w:sz w:val="24"/>
          <w:szCs w:val="24"/>
          <w:u w:val="single"/>
        </w:rPr>
      </w:pPr>
      <w:r w:rsidRPr="005913B1">
        <w:rPr>
          <w:rFonts w:ascii="Garamond" w:hAnsi="Garamond"/>
          <w:sz w:val="24"/>
          <w:szCs w:val="24"/>
          <w:u w:val="single"/>
        </w:rPr>
        <w:t>2. The Bill retains two existing terms, ‘judicial factor’ and ‘Accountant of Court.’ What are your views on the suitability of those terms to describe the two roles? Please give details of any alternative terms which you think might suit these roles.</w:t>
      </w:r>
    </w:p>
    <w:p w14:paraId="5E5B6A83" w14:textId="2E8AF482" w:rsidR="00AF05C0" w:rsidRPr="00AF05C0" w:rsidRDefault="00AF05C0" w:rsidP="00286E0F">
      <w:pPr>
        <w:jc w:val="both"/>
        <w:rPr>
          <w:rFonts w:ascii="Garamond" w:hAnsi="Garamond"/>
          <w:sz w:val="24"/>
          <w:szCs w:val="24"/>
        </w:rPr>
      </w:pPr>
      <w:r>
        <w:rPr>
          <w:rFonts w:ascii="Garamond" w:hAnsi="Garamond"/>
          <w:sz w:val="24"/>
          <w:szCs w:val="24"/>
        </w:rPr>
        <w:t xml:space="preserve">These terms are well-established and </w:t>
      </w:r>
      <w:r w:rsidR="00A725C0">
        <w:rPr>
          <w:rFonts w:ascii="Garamond" w:hAnsi="Garamond"/>
          <w:sz w:val="24"/>
          <w:szCs w:val="24"/>
        </w:rPr>
        <w:t>broadly understood</w:t>
      </w:r>
      <w:r w:rsidR="003B65B8">
        <w:rPr>
          <w:rFonts w:ascii="Garamond" w:hAnsi="Garamond"/>
          <w:sz w:val="24"/>
          <w:szCs w:val="24"/>
        </w:rPr>
        <w:t xml:space="preserve">, and it makes it easier to draw comparisons </w:t>
      </w:r>
      <w:r w:rsidR="0001533A">
        <w:rPr>
          <w:rFonts w:ascii="Garamond" w:hAnsi="Garamond"/>
          <w:sz w:val="24"/>
          <w:szCs w:val="24"/>
        </w:rPr>
        <w:t xml:space="preserve">with </w:t>
      </w:r>
      <w:r w:rsidR="003B65B8">
        <w:rPr>
          <w:rFonts w:ascii="Garamond" w:hAnsi="Garamond"/>
          <w:sz w:val="24"/>
          <w:szCs w:val="24"/>
        </w:rPr>
        <w:t>and to use earlier law</w:t>
      </w:r>
      <w:r w:rsidR="00A725C0">
        <w:rPr>
          <w:rFonts w:ascii="Garamond" w:hAnsi="Garamond"/>
          <w:sz w:val="24"/>
          <w:szCs w:val="24"/>
        </w:rPr>
        <w:t xml:space="preserve">. It is difficult to identify suitable alternatives that would not create difficulties </w:t>
      </w:r>
      <w:r w:rsidR="003B65B8">
        <w:rPr>
          <w:rFonts w:ascii="Garamond" w:hAnsi="Garamond"/>
          <w:sz w:val="24"/>
          <w:szCs w:val="24"/>
        </w:rPr>
        <w:t>or cause confusion.</w:t>
      </w:r>
    </w:p>
    <w:p w14:paraId="723CAABB" w14:textId="77777777" w:rsidR="00AF05C0" w:rsidRPr="005913B1" w:rsidRDefault="00AF05C0" w:rsidP="00286E0F">
      <w:pPr>
        <w:jc w:val="both"/>
        <w:rPr>
          <w:rFonts w:ascii="Garamond" w:hAnsi="Garamond"/>
          <w:sz w:val="24"/>
          <w:szCs w:val="24"/>
          <w:u w:val="single"/>
        </w:rPr>
      </w:pPr>
    </w:p>
    <w:p w14:paraId="7F640638" w14:textId="22214EDD" w:rsidR="008B302A" w:rsidRPr="005913B1" w:rsidRDefault="008B302A" w:rsidP="00286E0F">
      <w:pPr>
        <w:jc w:val="both"/>
        <w:rPr>
          <w:rFonts w:ascii="Garamond" w:hAnsi="Garamond"/>
          <w:sz w:val="24"/>
          <w:szCs w:val="24"/>
          <w:u w:val="single"/>
        </w:rPr>
      </w:pPr>
      <w:r w:rsidRPr="005913B1">
        <w:rPr>
          <w:rFonts w:ascii="Garamond" w:hAnsi="Garamond"/>
          <w:sz w:val="24"/>
          <w:szCs w:val="24"/>
          <w:u w:val="single"/>
        </w:rPr>
        <w:t xml:space="preserve">3. Is there anything you think should have been in the Bill which is not in the Bill? </w:t>
      </w:r>
    </w:p>
    <w:p w14:paraId="3B4F9A1D" w14:textId="03171101" w:rsidR="008B302A" w:rsidRPr="0001533A" w:rsidRDefault="0001533A" w:rsidP="00286E0F">
      <w:pPr>
        <w:jc w:val="both"/>
        <w:rPr>
          <w:rFonts w:ascii="Garamond" w:hAnsi="Garamond"/>
          <w:sz w:val="24"/>
          <w:szCs w:val="24"/>
        </w:rPr>
      </w:pPr>
      <w:r>
        <w:rPr>
          <w:rFonts w:ascii="Garamond" w:hAnsi="Garamond"/>
          <w:sz w:val="24"/>
          <w:szCs w:val="24"/>
        </w:rPr>
        <w:t>We have not identified anything in particular, except the points noted above.</w:t>
      </w:r>
    </w:p>
    <w:p w14:paraId="6DAD09BC" w14:textId="77777777" w:rsidR="0001533A" w:rsidRPr="005913B1" w:rsidRDefault="0001533A" w:rsidP="00286E0F">
      <w:pPr>
        <w:jc w:val="both"/>
        <w:rPr>
          <w:rFonts w:ascii="Garamond" w:hAnsi="Garamond"/>
          <w:b/>
          <w:bCs/>
          <w:sz w:val="24"/>
          <w:szCs w:val="24"/>
        </w:rPr>
      </w:pPr>
    </w:p>
    <w:p w14:paraId="77D82977" w14:textId="77777777" w:rsidR="008B302A" w:rsidRPr="005913B1" w:rsidRDefault="008B302A" w:rsidP="00286E0F">
      <w:pPr>
        <w:jc w:val="both"/>
        <w:rPr>
          <w:rFonts w:ascii="Garamond" w:hAnsi="Garamond"/>
          <w:b/>
          <w:bCs/>
          <w:sz w:val="24"/>
          <w:szCs w:val="24"/>
        </w:rPr>
      </w:pPr>
      <w:r w:rsidRPr="005913B1">
        <w:rPr>
          <w:rFonts w:ascii="Garamond" w:hAnsi="Garamond"/>
          <w:b/>
          <w:bCs/>
          <w:sz w:val="24"/>
          <w:szCs w:val="24"/>
        </w:rPr>
        <w:t>Question page 4</w:t>
      </w:r>
    </w:p>
    <w:p w14:paraId="3ABBBFC1" w14:textId="77777777" w:rsidR="008B302A" w:rsidRPr="005913B1" w:rsidRDefault="008B302A" w:rsidP="00286E0F">
      <w:pPr>
        <w:jc w:val="both"/>
        <w:rPr>
          <w:rFonts w:ascii="Garamond" w:hAnsi="Garamond"/>
          <w:sz w:val="24"/>
          <w:szCs w:val="24"/>
          <w:u w:val="single"/>
        </w:rPr>
      </w:pPr>
      <w:r w:rsidRPr="005913B1">
        <w:rPr>
          <w:rFonts w:ascii="Garamond" w:hAnsi="Garamond"/>
          <w:sz w:val="24"/>
          <w:szCs w:val="24"/>
          <w:u w:val="single"/>
        </w:rPr>
        <w:t>1. Is there any other comment you would like to make on the Bill more generally?</w:t>
      </w:r>
    </w:p>
    <w:p w14:paraId="4FB81CF7" w14:textId="58C4F912" w:rsidR="008B302A" w:rsidRPr="005913B1" w:rsidRDefault="0001533A" w:rsidP="00286E0F">
      <w:pPr>
        <w:jc w:val="both"/>
        <w:rPr>
          <w:rFonts w:ascii="Garamond" w:hAnsi="Garamond"/>
          <w:sz w:val="24"/>
          <w:szCs w:val="24"/>
        </w:rPr>
      </w:pPr>
      <w:r>
        <w:rPr>
          <w:rFonts w:ascii="Garamond" w:hAnsi="Garamond"/>
          <w:sz w:val="24"/>
          <w:szCs w:val="24"/>
        </w:rPr>
        <w:t>We have no further comments.</w:t>
      </w:r>
    </w:p>
    <w:p w14:paraId="7581864B" w14:textId="77777777" w:rsidR="004D20A5" w:rsidRPr="005913B1" w:rsidRDefault="004D20A5" w:rsidP="00286E0F">
      <w:pPr>
        <w:jc w:val="both"/>
        <w:rPr>
          <w:rFonts w:ascii="Garamond" w:hAnsi="Garamond"/>
          <w:sz w:val="24"/>
          <w:szCs w:val="24"/>
        </w:rPr>
      </w:pPr>
    </w:p>
    <w:sectPr w:rsidR="004D20A5" w:rsidRPr="005913B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2CBF" w14:textId="77777777" w:rsidR="00DE1968" w:rsidRDefault="00DE1968" w:rsidP="008B302A">
      <w:pPr>
        <w:spacing w:after="0" w:line="240" w:lineRule="auto"/>
      </w:pPr>
      <w:r>
        <w:separator/>
      </w:r>
    </w:p>
  </w:endnote>
  <w:endnote w:type="continuationSeparator" w:id="0">
    <w:p w14:paraId="65A15BE8" w14:textId="77777777" w:rsidR="00DE1968" w:rsidRDefault="00DE1968" w:rsidP="008B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07834"/>
      <w:docPartObj>
        <w:docPartGallery w:val="Page Numbers (Bottom of Page)"/>
        <w:docPartUnique/>
      </w:docPartObj>
    </w:sdtPr>
    <w:sdtEndPr>
      <w:rPr>
        <w:rFonts w:ascii="Garamond" w:hAnsi="Garamond"/>
        <w:noProof/>
        <w:sz w:val="24"/>
        <w:szCs w:val="24"/>
      </w:rPr>
    </w:sdtEndPr>
    <w:sdtContent>
      <w:p w14:paraId="22FCB2EE" w14:textId="010600FB" w:rsidR="008B302A" w:rsidRPr="005913B1" w:rsidRDefault="008B302A">
        <w:pPr>
          <w:pStyle w:val="Footer"/>
          <w:jc w:val="center"/>
          <w:rPr>
            <w:rFonts w:ascii="Garamond" w:hAnsi="Garamond"/>
            <w:sz w:val="24"/>
            <w:szCs w:val="24"/>
          </w:rPr>
        </w:pPr>
        <w:r w:rsidRPr="005913B1">
          <w:rPr>
            <w:rFonts w:ascii="Garamond" w:hAnsi="Garamond"/>
            <w:sz w:val="24"/>
            <w:szCs w:val="24"/>
          </w:rPr>
          <w:fldChar w:fldCharType="begin"/>
        </w:r>
        <w:r w:rsidRPr="005913B1">
          <w:rPr>
            <w:rFonts w:ascii="Garamond" w:hAnsi="Garamond"/>
            <w:sz w:val="24"/>
            <w:szCs w:val="24"/>
          </w:rPr>
          <w:instrText xml:space="preserve"> PAGE   \* MERGEFORMAT </w:instrText>
        </w:r>
        <w:r w:rsidRPr="005913B1">
          <w:rPr>
            <w:rFonts w:ascii="Garamond" w:hAnsi="Garamond"/>
            <w:sz w:val="24"/>
            <w:szCs w:val="24"/>
          </w:rPr>
          <w:fldChar w:fldCharType="separate"/>
        </w:r>
        <w:r w:rsidRPr="005913B1">
          <w:rPr>
            <w:rFonts w:ascii="Garamond" w:hAnsi="Garamond"/>
            <w:noProof/>
            <w:sz w:val="24"/>
            <w:szCs w:val="24"/>
          </w:rPr>
          <w:t>2</w:t>
        </w:r>
        <w:r w:rsidRPr="005913B1">
          <w:rPr>
            <w:rFonts w:ascii="Garamond" w:hAnsi="Garamond"/>
            <w:noProof/>
            <w:sz w:val="24"/>
            <w:szCs w:val="24"/>
          </w:rPr>
          <w:fldChar w:fldCharType="end"/>
        </w:r>
      </w:p>
    </w:sdtContent>
  </w:sdt>
  <w:p w14:paraId="701EDD4D" w14:textId="77777777" w:rsidR="008B302A" w:rsidRDefault="008B3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FDF9" w14:textId="77777777" w:rsidR="00DE1968" w:rsidRDefault="00DE1968" w:rsidP="008B302A">
      <w:pPr>
        <w:spacing w:after="0" w:line="240" w:lineRule="auto"/>
      </w:pPr>
      <w:r>
        <w:separator/>
      </w:r>
    </w:p>
  </w:footnote>
  <w:footnote w:type="continuationSeparator" w:id="0">
    <w:p w14:paraId="3A53FD3E" w14:textId="77777777" w:rsidR="00DE1968" w:rsidRDefault="00DE1968" w:rsidP="008B302A">
      <w:pPr>
        <w:spacing w:after="0" w:line="240" w:lineRule="auto"/>
      </w:pPr>
      <w:r>
        <w:continuationSeparator/>
      </w:r>
    </w:p>
  </w:footnote>
  <w:footnote w:id="1">
    <w:p w14:paraId="5B40E93C" w14:textId="1F33527A" w:rsidR="00913632" w:rsidRPr="00913632" w:rsidRDefault="00913632">
      <w:pPr>
        <w:pStyle w:val="FootnoteText"/>
        <w:rPr>
          <w:rFonts w:ascii="Garamond" w:hAnsi="Garamond"/>
        </w:rPr>
      </w:pPr>
      <w:r w:rsidRPr="00913632">
        <w:rPr>
          <w:rStyle w:val="FootnoteReference"/>
          <w:rFonts w:ascii="Garamond" w:hAnsi="Garamond"/>
        </w:rPr>
        <w:footnoteRef/>
      </w:r>
      <w:r w:rsidRPr="00913632">
        <w:rPr>
          <w:rFonts w:ascii="Garamond" w:hAnsi="Garamond"/>
        </w:rPr>
        <w:t xml:space="preserve"> Figure of 7 provided by Office of the Accountant of Court. We have assumed that the figures for individual case types are correct and that the total figure provided was incorrect.</w:t>
      </w:r>
    </w:p>
  </w:footnote>
  <w:footnote w:id="2">
    <w:p w14:paraId="258A321E" w14:textId="242F5440" w:rsidR="00913632" w:rsidRPr="00913632" w:rsidRDefault="00913632">
      <w:pPr>
        <w:pStyle w:val="FootnoteText"/>
        <w:rPr>
          <w:rFonts w:ascii="Garamond" w:hAnsi="Garamond"/>
        </w:rPr>
      </w:pPr>
      <w:r w:rsidRPr="00913632">
        <w:rPr>
          <w:rStyle w:val="FootnoteReference"/>
          <w:rFonts w:ascii="Garamond" w:hAnsi="Garamond"/>
        </w:rPr>
        <w:footnoteRef/>
      </w:r>
      <w:r w:rsidRPr="00913632">
        <w:rPr>
          <w:rFonts w:ascii="Garamond" w:hAnsi="Garamond"/>
        </w:rPr>
        <w:t xml:space="preserve"> Figure of 7 provided by Office of the Accountant of Court. We have assumed that the figures for individual case types are correct and that the total figure provided was incorrect.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2CEF"/>
    <w:multiLevelType w:val="hybridMultilevel"/>
    <w:tmpl w:val="707E0D3A"/>
    <w:lvl w:ilvl="0" w:tplc="EEF8657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8E6252"/>
    <w:multiLevelType w:val="hybridMultilevel"/>
    <w:tmpl w:val="AE20820A"/>
    <w:lvl w:ilvl="0" w:tplc="A170B4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3C46C4"/>
    <w:multiLevelType w:val="hybridMultilevel"/>
    <w:tmpl w:val="FB462F8E"/>
    <w:lvl w:ilvl="0" w:tplc="DDFEFB2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59781D"/>
    <w:multiLevelType w:val="hybridMultilevel"/>
    <w:tmpl w:val="2814C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86119D"/>
    <w:multiLevelType w:val="hybridMultilevel"/>
    <w:tmpl w:val="5CC20D12"/>
    <w:lvl w:ilvl="0" w:tplc="6F6E49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208165">
    <w:abstractNumId w:val="1"/>
  </w:num>
  <w:num w:numId="2" w16cid:durableId="683016706">
    <w:abstractNumId w:val="4"/>
  </w:num>
  <w:num w:numId="3" w16cid:durableId="1365519118">
    <w:abstractNumId w:val="2"/>
  </w:num>
  <w:num w:numId="4" w16cid:durableId="1638611334">
    <w:abstractNumId w:val="0"/>
  </w:num>
  <w:num w:numId="5" w16cid:durableId="2099325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2A"/>
    <w:rsid w:val="000049B0"/>
    <w:rsid w:val="0001533A"/>
    <w:rsid w:val="000260F5"/>
    <w:rsid w:val="0004043C"/>
    <w:rsid w:val="00075EFC"/>
    <w:rsid w:val="000A7DF7"/>
    <w:rsid w:val="000B0225"/>
    <w:rsid w:val="000B032E"/>
    <w:rsid w:val="000E0244"/>
    <w:rsid w:val="000E28E2"/>
    <w:rsid w:val="0013255F"/>
    <w:rsid w:val="0013760F"/>
    <w:rsid w:val="0014416B"/>
    <w:rsid w:val="00154EAB"/>
    <w:rsid w:val="00161B3F"/>
    <w:rsid w:val="00176F84"/>
    <w:rsid w:val="001D196A"/>
    <w:rsid w:val="001E367B"/>
    <w:rsid w:val="0020063E"/>
    <w:rsid w:val="00245955"/>
    <w:rsid w:val="00246268"/>
    <w:rsid w:val="00275AF1"/>
    <w:rsid w:val="00283389"/>
    <w:rsid w:val="00284CFF"/>
    <w:rsid w:val="00286E0F"/>
    <w:rsid w:val="002B0AF3"/>
    <w:rsid w:val="002C6AED"/>
    <w:rsid w:val="002D258A"/>
    <w:rsid w:val="002D47D4"/>
    <w:rsid w:val="002E4953"/>
    <w:rsid w:val="002E7B38"/>
    <w:rsid w:val="002F259D"/>
    <w:rsid w:val="003242D3"/>
    <w:rsid w:val="00333687"/>
    <w:rsid w:val="00333BC5"/>
    <w:rsid w:val="0035540F"/>
    <w:rsid w:val="003623D5"/>
    <w:rsid w:val="00380C69"/>
    <w:rsid w:val="00391244"/>
    <w:rsid w:val="003A5CE2"/>
    <w:rsid w:val="003B65B8"/>
    <w:rsid w:val="003E028D"/>
    <w:rsid w:val="003F2E8D"/>
    <w:rsid w:val="004043C3"/>
    <w:rsid w:val="004060BE"/>
    <w:rsid w:val="00425A44"/>
    <w:rsid w:val="00444DAE"/>
    <w:rsid w:val="0044694A"/>
    <w:rsid w:val="004918F7"/>
    <w:rsid w:val="004971A3"/>
    <w:rsid w:val="004A0600"/>
    <w:rsid w:val="004A3DEE"/>
    <w:rsid w:val="004B4763"/>
    <w:rsid w:val="004B4E51"/>
    <w:rsid w:val="004C4F27"/>
    <w:rsid w:val="004D20A5"/>
    <w:rsid w:val="00524B95"/>
    <w:rsid w:val="00541527"/>
    <w:rsid w:val="00556FA1"/>
    <w:rsid w:val="005616E9"/>
    <w:rsid w:val="005913B1"/>
    <w:rsid w:val="005B3F6D"/>
    <w:rsid w:val="005B5EF6"/>
    <w:rsid w:val="005C0511"/>
    <w:rsid w:val="005C639C"/>
    <w:rsid w:val="005F2D49"/>
    <w:rsid w:val="005F42F3"/>
    <w:rsid w:val="00604C06"/>
    <w:rsid w:val="006103F7"/>
    <w:rsid w:val="006257D6"/>
    <w:rsid w:val="00657CBA"/>
    <w:rsid w:val="00667730"/>
    <w:rsid w:val="006A5FB4"/>
    <w:rsid w:val="006A5FC1"/>
    <w:rsid w:val="006C6C9C"/>
    <w:rsid w:val="006D5AC2"/>
    <w:rsid w:val="006E3A98"/>
    <w:rsid w:val="006E3EEF"/>
    <w:rsid w:val="006F74B8"/>
    <w:rsid w:val="007015FE"/>
    <w:rsid w:val="00710335"/>
    <w:rsid w:val="00715A50"/>
    <w:rsid w:val="00717A08"/>
    <w:rsid w:val="0072129B"/>
    <w:rsid w:val="00731907"/>
    <w:rsid w:val="00733F45"/>
    <w:rsid w:val="00746A58"/>
    <w:rsid w:val="00747D59"/>
    <w:rsid w:val="0075459C"/>
    <w:rsid w:val="007608BF"/>
    <w:rsid w:val="007961CD"/>
    <w:rsid w:val="007C7115"/>
    <w:rsid w:val="007C75A4"/>
    <w:rsid w:val="007E1E52"/>
    <w:rsid w:val="007E4073"/>
    <w:rsid w:val="00810FAF"/>
    <w:rsid w:val="00824391"/>
    <w:rsid w:val="0083773E"/>
    <w:rsid w:val="00852560"/>
    <w:rsid w:val="008619B4"/>
    <w:rsid w:val="0087391D"/>
    <w:rsid w:val="00885157"/>
    <w:rsid w:val="008B302A"/>
    <w:rsid w:val="008E4969"/>
    <w:rsid w:val="008F265B"/>
    <w:rsid w:val="008F6B7A"/>
    <w:rsid w:val="00913632"/>
    <w:rsid w:val="00917039"/>
    <w:rsid w:val="00935EFB"/>
    <w:rsid w:val="00962A83"/>
    <w:rsid w:val="009711A7"/>
    <w:rsid w:val="00993C1B"/>
    <w:rsid w:val="009A71B7"/>
    <w:rsid w:val="009B53C4"/>
    <w:rsid w:val="009C318D"/>
    <w:rsid w:val="009D0AC9"/>
    <w:rsid w:val="009D36D1"/>
    <w:rsid w:val="009F21F2"/>
    <w:rsid w:val="009F295D"/>
    <w:rsid w:val="00A00ECD"/>
    <w:rsid w:val="00A105BB"/>
    <w:rsid w:val="00A12609"/>
    <w:rsid w:val="00A358F9"/>
    <w:rsid w:val="00A42944"/>
    <w:rsid w:val="00A45BB5"/>
    <w:rsid w:val="00A461D8"/>
    <w:rsid w:val="00A54242"/>
    <w:rsid w:val="00A61435"/>
    <w:rsid w:val="00A61C88"/>
    <w:rsid w:val="00A6667A"/>
    <w:rsid w:val="00A71D3C"/>
    <w:rsid w:val="00A725C0"/>
    <w:rsid w:val="00A779F3"/>
    <w:rsid w:val="00A80D2D"/>
    <w:rsid w:val="00A87709"/>
    <w:rsid w:val="00AA3D40"/>
    <w:rsid w:val="00AA4330"/>
    <w:rsid w:val="00AC045A"/>
    <w:rsid w:val="00AE05EC"/>
    <w:rsid w:val="00AF0453"/>
    <w:rsid w:val="00AF05C0"/>
    <w:rsid w:val="00B005F5"/>
    <w:rsid w:val="00B0721F"/>
    <w:rsid w:val="00B124B8"/>
    <w:rsid w:val="00B226BC"/>
    <w:rsid w:val="00B26CB8"/>
    <w:rsid w:val="00B57DCA"/>
    <w:rsid w:val="00B76B12"/>
    <w:rsid w:val="00BA4F3A"/>
    <w:rsid w:val="00BB2CD6"/>
    <w:rsid w:val="00BB65E3"/>
    <w:rsid w:val="00BC6837"/>
    <w:rsid w:val="00BC6E11"/>
    <w:rsid w:val="00BF6911"/>
    <w:rsid w:val="00C0183E"/>
    <w:rsid w:val="00C16F40"/>
    <w:rsid w:val="00C20913"/>
    <w:rsid w:val="00C21E4B"/>
    <w:rsid w:val="00C329F7"/>
    <w:rsid w:val="00C43196"/>
    <w:rsid w:val="00C64D86"/>
    <w:rsid w:val="00C70641"/>
    <w:rsid w:val="00C849D7"/>
    <w:rsid w:val="00C86D8B"/>
    <w:rsid w:val="00C86E57"/>
    <w:rsid w:val="00CA21AA"/>
    <w:rsid w:val="00CC71CA"/>
    <w:rsid w:val="00CE6814"/>
    <w:rsid w:val="00CF02FE"/>
    <w:rsid w:val="00CF6209"/>
    <w:rsid w:val="00D16531"/>
    <w:rsid w:val="00D3474E"/>
    <w:rsid w:val="00D46859"/>
    <w:rsid w:val="00D74D50"/>
    <w:rsid w:val="00D75841"/>
    <w:rsid w:val="00DA52B5"/>
    <w:rsid w:val="00DB2313"/>
    <w:rsid w:val="00DB61C6"/>
    <w:rsid w:val="00DC6954"/>
    <w:rsid w:val="00DD18DF"/>
    <w:rsid w:val="00DD2C78"/>
    <w:rsid w:val="00DE14E3"/>
    <w:rsid w:val="00DE1968"/>
    <w:rsid w:val="00DF4C33"/>
    <w:rsid w:val="00E047E6"/>
    <w:rsid w:val="00E2417D"/>
    <w:rsid w:val="00E359B9"/>
    <w:rsid w:val="00E37DBB"/>
    <w:rsid w:val="00E5380D"/>
    <w:rsid w:val="00E57388"/>
    <w:rsid w:val="00E608BA"/>
    <w:rsid w:val="00E6764A"/>
    <w:rsid w:val="00F12E8F"/>
    <w:rsid w:val="00F2747D"/>
    <w:rsid w:val="00F3260B"/>
    <w:rsid w:val="00F35631"/>
    <w:rsid w:val="00F5186A"/>
    <w:rsid w:val="00FB0086"/>
    <w:rsid w:val="00FB4A9F"/>
    <w:rsid w:val="00FC20D1"/>
    <w:rsid w:val="00FC4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C2F5"/>
  <w15:chartTrackingRefBased/>
  <w15:docId w15:val="{99F85CEE-2144-422F-A112-D79F3CE8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02A"/>
  </w:style>
  <w:style w:type="paragraph" w:styleId="Footer">
    <w:name w:val="footer"/>
    <w:basedOn w:val="Normal"/>
    <w:link w:val="FooterChar"/>
    <w:uiPriority w:val="99"/>
    <w:unhideWhenUsed/>
    <w:rsid w:val="008B3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02A"/>
  </w:style>
  <w:style w:type="paragraph" w:styleId="ListParagraph">
    <w:name w:val="List Paragraph"/>
    <w:basedOn w:val="Normal"/>
    <w:uiPriority w:val="34"/>
    <w:qFormat/>
    <w:rsid w:val="008B302A"/>
    <w:pPr>
      <w:ind w:left="720"/>
      <w:contextualSpacing/>
    </w:pPr>
  </w:style>
  <w:style w:type="character" w:styleId="CommentReference">
    <w:name w:val="annotation reference"/>
    <w:basedOn w:val="DefaultParagraphFont"/>
    <w:uiPriority w:val="99"/>
    <w:semiHidden/>
    <w:unhideWhenUsed/>
    <w:rsid w:val="00DE14E3"/>
    <w:rPr>
      <w:sz w:val="16"/>
      <w:szCs w:val="16"/>
    </w:rPr>
  </w:style>
  <w:style w:type="paragraph" w:styleId="CommentText">
    <w:name w:val="annotation text"/>
    <w:basedOn w:val="Normal"/>
    <w:link w:val="CommentTextChar"/>
    <w:uiPriority w:val="99"/>
    <w:unhideWhenUsed/>
    <w:rsid w:val="00DE14E3"/>
    <w:pPr>
      <w:spacing w:line="240" w:lineRule="auto"/>
    </w:pPr>
    <w:rPr>
      <w:sz w:val="20"/>
      <w:szCs w:val="20"/>
    </w:rPr>
  </w:style>
  <w:style w:type="character" w:customStyle="1" w:styleId="CommentTextChar">
    <w:name w:val="Comment Text Char"/>
    <w:basedOn w:val="DefaultParagraphFont"/>
    <w:link w:val="CommentText"/>
    <w:uiPriority w:val="99"/>
    <w:rsid w:val="00DE14E3"/>
    <w:rPr>
      <w:sz w:val="20"/>
      <w:szCs w:val="20"/>
    </w:rPr>
  </w:style>
  <w:style w:type="paragraph" w:styleId="CommentSubject">
    <w:name w:val="annotation subject"/>
    <w:basedOn w:val="CommentText"/>
    <w:next w:val="CommentText"/>
    <w:link w:val="CommentSubjectChar"/>
    <w:uiPriority w:val="99"/>
    <w:semiHidden/>
    <w:unhideWhenUsed/>
    <w:rsid w:val="00DE14E3"/>
    <w:rPr>
      <w:b/>
      <w:bCs/>
    </w:rPr>
  </w:style>
  <w:style w:type="character" w:customStyle="1" w:styleId="CommentSubjectChar">
    <w:name w:val="Comment Subject Char"/>
    <w:basedOn w:val="CommentTextChar"/>
    <w:link w:val="CommentSubject"/>
    <w:uiPriority w:val="99"/>
    <w:semiHidden/>
    <w:rsid w:val="00DE14E3"/>
    <w:rPr>
      <w:b/>
      <w:bCs/>
      <w:sz w:val="20"/>
      <w:szCs w:val="20"/>
    </w:rPr>
  </w:style>
  <w:style w:type="paragraph" w:styleId="Revision">
    <w:name w:val="Revision"/>
    <w:hidden/>
    <w:uiPriority w:val="99"/>
    <w:semiHidden/>
    <w:rsid w:val="007961CD"/>
    <w:pPr>
      <w:spacing w:after="0" w:line="240" w:lineRule="auto"/>
    </w:pPr>
  </w:style>
  <w:style w:type="table" w:styleId="TableGrid">
    <w:name w:val="Table Grid"/>
    <w:basedOn w:val="TableNormal"/>
    <w:uiPriority w:val="39"/>
    <w:rsid w:val="0028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3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632"/>
    <w:rPr>
      <w:sz w:val="20"/>
      <w:szCs w:val="20"/>
    </w:rPr>
  </w:style>
  <w:style w:type="character" w:styleId="FootnoteReference">
    <w:name w:val="footnote reference"/>
    <w:basedOn w:val="DefaultParagraphFont"/>
    <w:uiPriority w:val="99"/>
    <w:semiHidden/>
    <w:unhideWhenUsed/>
    <w:rsid w:val="009136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00D52-9183-4353-A32B-F164F448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Euan</dc:creator>
  <cp:keywords/>
  <dc:description/>
  <cp:lastModifiedBy>Macpherson, Alisdair</cp:lastModifiedBy>
  <cp:revision>9</cp:revision>
  <dcterms:created xsi:type="dcterms:W3CDTF">2024-03-14T16:36:00Z</dcterms:created>
  <dcterms:modified xsi:type="dcterms:W3CDTF">2024-03-14T16:45:00Z</dcterms:modified>
</cp:coreProperties>
</file>